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E53E9" w14:textId="77777777" w:rsidR="00A50AA7" w:rsidRDefault="00A50AA7">
      <w:pPr>
        <w:jc w:val="center"/>
        <w:rPr>
          <w:rFonts w:ascii="Arial" w:eastAsia="Arial" w:hAnsi="Arial" w:cs="Arial"/>
          <w:b/>
          <w:sz w:val="32"/>
          <w:szCs w:val="32"/>
        </w:rPr>
      </w:pPr>
    </w:p>
    <w:p w14:paraId="4155E710" w14:textId="3391EE43" w:rsidR="00A50AA7" w:rsidRDefault="00694A89">
      <w:pPr>
        <w:jc w:val="center"/>
        <w:rPr>
          <w:rFonts w:ascii="Arial" w:eastAsia="Arial" w:hAnsi="Arial" w:cs="Arial"/>
          <w:b/>
          <w:sz w:val="32"/>
          <w:szCs w:val="32"/>
        </w:rPr>
      </w:pPr>
      <w:r w:rsidRPr="00694A89">
        <w:rPr>
          <w:rFonts w:ascii="Arial" w:eastAsia="Arial" w:hAnsi="Arial" w:cs="Arial"/>
          <w:b/>
          <w:color w:val="000000"/>
          <w:sz w:val="32"/>
          <w:szCs w:val="32"/>
        </w:rPr>
        <w:t xml:space="preserve">Determining the </w:t>
      </w:r>
      <w:r>
        <w:rPr>
          <w:rFonts w:ascii="Arial" w:eastAsia="Arial" w:hAnsi="Arial" w:cs="Arial"/>
          <w:b/>
          <w:color w:val="000000"/>
          <w:sz w:val="32"/>
          <w:szCs w:val="32"/>
        </w:rPr>
        <w:t>F</w:t>
      </w:r>
      <w:r w:rsidRPr="00694A89">
        <w:rPr>
          <w:rFonts w:ascii="Arial" w:eastAsia="Arial" w:hAnsi="Arial" w:cs="Arial"/>
          <w:b/>
          <w:color w:val="000000"/>
          <w:sz w:val="32"/>
          <w:szCs w:val="32"/>
        </w:rPr>
        <w:t xml:space="preserve">actors that </w:t>
      </w:r>
      <w:r>
        <w:rPr>
          <w:rFonts w:ascii="Arial" w:eastAsia="Arial" w:hAnsi="Arial" w:cs="Arial"/>
          <w:b/>
          <w:color w:val="000000"/>
          <w:sz w:val="32"/>
          <w:szCs w:val="32"/>
        </w:rPr>
        <w:t>I</w:t>
      </w:r>
      <w:r w:rsidRPr="00694A89">
        <w:rPr>
          <w:rFonts w:ascii="Arial" w:eastAsia="Arial" w:hAnsi="Arial" w:cs="Arial"/>
          <w:b/>
          <w:color w:val="000000"/>
          <w:sz w:val="32"/>
          <w:szCs w:val="32"/>
        </w:rPr>
        <w:t>nfluence e-</w:t>
      </w:r>
      <w:r>
        <w:rPr>
          <w:rFonts w:ascii="Arial" w:eastAsia="Arial" w:hAnsi="Arial" w:cs="Arial"/>
          <w:b/>
          <w:color w:val="000000"/>
          <w:sz w:val="32"/>
          <w:szCs w:val="32"/>
        </w:rPr>
        <w:t>M</w:t>
      </w:r>
      <w:r w:rsidRPr="00694A89">
        <w:rPr>
          <w:rFonts w:ascii="Arial" w:eastAsia="Arial" w:hAnsi="Arial" w:cs="Arial"/>
          <w:b/>
          <w:color w:val="000000"/>
          <w:sz w:val="32"/>
          <w:szCs w:val="32"/>
        </w:rPr>
        <w:t xml:space="preserve">arketplace </w:t>
      </w:r>
      <w:r>
        <w:rPr>
          <w:rFonts w:ascii="Arial" w:eastAsia="Arial" w:hAnsi="Arial" w:cs="Arial"/>
          <w:b/>
          <w:color w:val="000000"/>
          <w:sz w:val="32"/>
          <w:szCs w:val="32"/>
        </w:rPr>
        <w:t>S</w:t>
      </w:r>
      <w:r w:rsidRPr="00694A89">
        <w:rPr>
          <w:rFonts w:ascii="Arial" w:eastAsia="Arial" w:hAnsi="Arial" w:cs="Arial"/>
          <w:b/>
          <w:color w:val="000000"/>
          <w:sz w:val="32"/>
          <w:szCs w:val="32"/>
        </w:rPr>
        <w:t xml:space="preserve">election </w:t>
      </w:r>
      <w:r w:rsidR="00783E33">
        <w:rPr>
          <w:rFonts w:ascii="Arial" w:eastAsia="Arial" w:hAnsi="Arial" w:cs="Arial"/>
          <w:b/>
          <w:color w:val="000000"/>
          <w:sz w:val="32"/>
          <w:szCs w:val="32"/>
        </w:rPr>
        <w:t xml:space="preserve">from Seller’s Perspective </w:t>
      </w:r>
      <w:r>
        <w:rPr>
          <w:rFonts w:ascii="Arial" w:eastAsia="Arial" w:hAnsi="Arial" w:cs="Arial"/>
          <w:b/>
          <w:color w:val="000000"/>
          <w:sz w:val="32"/>
          <w:szCs w:val="32"/>
        </w:rPr>
        <w:t>U</w:t>
      </w:r>
      <w:r w:rsidRPr="00694A89">
        <w:rPr>
          <w:rFonts w:ascii="Arial" w:eastAsia="Arial" w:hAnsi="Arial" w:cs="Arial"/>
          <w:b/>
          <w:color w:val="000000"/>
          <w:sz w:val="32"/>
          <w:szCs w:val="32"/>
        </w:rPr>
        <w:t xml:space="preserve">sing a </w:t>
      </w:r>
      <w:r>
        <w:rPr>
          <w:rFonts w:ascii="Arial" w:eastAsia="Arial" w:hAnsi="Arial" w:cs="Arial"/>
          <w:b/>
          <w:color w:val="000000"/>
          <w:sz w:val="32"/>
          <w:szCs w:val="32"/>
        </w:rPr>
        <w:t>B</w:t>
      </w:r>
      <w:r w:rsidRPr="00694A89">
        <w:rPr>
          <w:rFonts w:ascii="Arial" w:eastAsia="Arial" w:hAnsi="Arial" w:cs="Arial"/>
          <w:b/>
          <w:color w:val="000000"/>
          <w:sz w:val="32"/>
          <w:szCs w:val="32"/>
        </w:rPr>
        <w:t xml:space="preserve">inary </w:t>
      </w:r>
      <w:r>
        <w:rPr>
          <w:rFonts w:ascii="Arial" w:eastAsia="Arial" w:hAnsi="Arial" w:cs="Arial"/>
          <w:b/>
          <w:color w:val="000000"/>
          <w:sz w:val="32"/>
          <w:szCs w:val="32"/>
        </w:rPr>
        <w:t>L</w:t>
      </w:r>
      <w:r w:rsidRPr="00694A89">
        <w:rPr>
          <w:rFonts w:ascii="Arial" w:eastAsia="Arial" w:hAnsi="Arial" w:cs="Arial"/>
          <w:b/>
          <w:color w:val="000000"/>
          <w:sz w:val="32"/>
          <w:szCs w:val="32"/>
        </w:rPr>
        <w:t xml:space="preserve">ogistic </w:t>
      </w:r>
      <w:r>
        <w:rPr>
          <w:rFonts w:ascii="Arial" w:eastAsia="Arial" w:hAnsi="Arial" w:cs="Arial"/>
          <w:b/>
          <w:color w:val="000000"/>
          <w:sz w:val="32"/>
          <w:szCs w:val="32"/>
        </w:rPr>
        <w:t>R</w:t>
      </w:r>
      <w:r w:rsidRPr="00694A89">
        <w:rPr>
          <w:rFonts w:ascii="Arial" w:eastAsia="Arial" w:hAnsi="Arial" w:cs="Arial"/>
          <w:b/>
          <w:color w:val="000000"/>
          <w:sz w:val="32"/>
          <w:szCs w:val="32"/>
        </w:rPr>
        <w:t xml:space="preserve">egression </w:t>
      </w:r>
      <w:r>
        <w:rPr>
          <w:rFonts w:ascii="Arial" w:eastAsia="Arial" w:hAnsi="Arial" w:cs="Arial"/>
          <w:b/>
          <w:color w:val="000000"/>
          <w:sz w:val="32"/>
          <w:szCs w:val="32"/>
        </w:rPr>
        <w:t>M</w:t>
      </w:r>
      <w:r w:rsidRPr="00694A89">
        <w:rPr>
          <w:rFonts w:ascii="Arial" w:eastAsia="Arial" w:hAnsi="Arial" w:cs="Arial"/>
          <w:b/>
          <w:color w:val="000000"/>
          <w:sz w:val="32"/>
          <w:szCs w:val="32"/>
        </w:rPr>
        <w:t>odel</w:t>
      </w:r>
    </w:p>
    <w:p w14:paraId="178E2D5A" w14:textId="77777777" w:rsidR="00A50AA7" w:rsidRDefault="00A50AA7">
      <w:pPr>
        <w:jc w:val="center"/>
        <w:rPr>
          <w:rFonts w:ascii="Arial" w:eastAsia="Arial" w:hAnsi="Arial" w:cs="Arial"/>
          <w:sz w:val="22"/>
          <w:szCs w:val="22"/>
        </w:rPr>
      </w:pPr>
    </w:p>
    <w:p w14:paraId="446E95AF" w14:textId="6C9693F4" w:rsidR="00A50AA7" w:rsidRDefault="00694A89">
      <w:pPr>
        <w:jc w:val="center"/>
        <w:rPr>
          <w:rFonts w:ascii="Arial" w:eastAsia="Arial" w:hAnsi="Arial" w:cs="Arial"/>
          <w:b/>
          <w:sz w:val="22"/>
          <w:szCs w:val="22"/>
        </w:rPr>
      </w:pPr>
      <w:proofErr w:type="spellStart"/>
      <w:r>
        <w:rPr>
          <w:rFonts w:ascii="Arial" w:eastAsia="Arial" w:hAnsi="Arial" w:cs="Arial"/>
          <w:b/>
          <w:sz w:val="22"/>
          <w:szCs w:val="22"/>
        </w:rPr>
        <w:t>Eko</w:t>
      </w:r>
      <w:proofErr w:type="spellEnd"/>
      <w:r>
        <w:rPr>
          <w:rFonts w:ascii="Arial" w:eastAsia="Arial" w:hAnsi="Arial" w:cs="Arial"/>
          <w:b/>
          <w:sz w:val="22"/>
          <w:szCs w:val="22"/>
        </w:rPr>
        <w:t xml:space="preserve"> </w:t>
      </w:r>
      <w:proofErr w:type="spellStart"/>
      <w:r>
        <w:rPr>
          <w:rFonts w:ascii="Arial" w:eastAsia="Arial" w:hAnsi="Arial" w:cs="Arial"/>
          <w:b/>
          <w:sz w:val="22"/>
          <w:szCs w:val="22"/>
        </w:rPr>
        <w:t>Purwanto</w:t>
      </w:r>
      <w:proofErr w:type="spellEnd"/>
    </w:p>
    <w:p w14:paraId="6171390F" w14:textId="14EA8215" w:rsidR="00A50AA7" w:rsidRDefault="00694A89">
      <w:pPr>
        <w:jc w:val="center"/>
        <w:rPr>
          <w:rFonts w:ascii="Arial" w:eastAsia="Arial" w:hAnsi="Arial" w:cs="Arial"/>
          <w:color w:val="212121"/>
          <w:sz w:val="22"/>
          <w:szCs w:val="22"/>
        </w:rPr>
      </w:pPr>
      <w:r>
        <w:rPr>
          <w:rFonts w:ascii="Arial" w:eastAsia="Arial" w:hAnsi="Arial" w:cs="Arial"/>
          <w:color w:val="212121"/>
          <w:sz w:val="22"/>
          <w:szCs w:val="22"/>
        </w:rPr>
        <w:t xml:space="preserve">Malaysian Institute Information Technology, </w:t>
      </w:r>
      <w:proofErr w:type="spellStart"/>
      <w:r>
        <w:rPr>
          <w:rFonts w:ascii="Arial" w:eastAsia="Arial" w:hAnsi="Arial" w:cs="Arial"/>
          <w:color w:val="212121"/>
          <w:sz w:val="22"/>
          <w:szCs w:val="22"/>
        </w:rPr>
        <w:t>Universiti</w:t>
      </w:r>
      <w:proofErr w:type="spellEnd"/>
      <w:r>
        <w:rPr>
          <w:rFonts w:ascii="Arial" w:eastAsia="Arial" w:hAnsi="Arial" w:cs="Arial"/>
          <w:color w:val="212121"/>
          <w:sz w:val="22"/>
          <w:szCs w:val="22"/>
        </w:rPr>
        <w:t xml:space="preserve"> Kuala Lumpur, Malaysia</w:t>
      </w:r>
    </w:p>
    <w:p w14:paraId="4FA6D029" w14:textId="0BBC72EE" w:rsidR="00A50AA7" w:rsidRDefault="008E72E3">
      <w:pPr>
        <w:jc w:val="center"/>
        <w:rPr>
          <w:rFonts w:ascii="Arial" w:eastAsia="Arial" w:hAnsi="Arial" w:cs="Arial"/>
          <w:color w:val="000000"/>
          <w:sz w:val="22"/>
          <w:szCs w:val="22"/>
        </w:rPr>
      </w:pPr>
      <w:hyperlink r:id="rId9" w:history="1">
        <w:r w:rsidR="00694A89" w:rsidRPr="00C16EBD">
          <w:rPr>
            <w:rStyle w:val="Hyperlink"/>
            <w:rFonts w:ascii="Arial" w:eastAsia="Arial" w:hAnsi="Arial" w:cs="Arial"/>
            <w:sz w:val="22"/>
            <w:szCs w:val="22"/>
          </w:rPr>
          <w:t>purwanto.eko@s.unikl.edu.my</w:t>
        </w:r>
      </w:hyperlink>
      <w:r w:rsidR="00694A89">
        <w:rPr>
          <w:rFonts w:ascii="Arial" w:eastAsia="Arial" w:hAnsi="Arial" w:cs="Arial"/>
          <w:color w:val="000000"/>
          <w:sz w:val="22"/>
          <w:szCs w:val="22"/>
        </w:rPr>
        <w:t xml:space="preserve"> </w:t>
      </w:r>
    </w:p>
    <w:p w14:paraId="4D8C9B52" w14:textId="77777777" w:rsidR="00A50AA7" w:rsidRDefault="00A50AA7">
      <w:pPr>
        <w:jc w:val="center"/>
        <w:rPr>
          <w:rFonts w:ascii="Arial" w:eastAsia="Arial" w:hAnsi="Arial" w:cs="Arial"/>
          <w:b/>
          <w:sz w:val="22"/>
          <w:szCs w:val="22"/>
        </w:rPr>
      </w:pPr>
    </w:p>
    <w:p w14:paraId="262F7E3E" w14:textId="5DD4A2A1" w:rsidR="00A50AA7" w:rsidRDefault="00694A89">
      <w:pPr>
        <w:jc w:val="center"/>
        <w:rPr>
          <w:rFonts w:ascii="Arial" w:eastAsia="Arial" w:hAnsi="Arial" w:cs="Arial"/>
          <w:b/>
          <w:sz w:val="22"/>
          <w:szCs w:val="22"/>
        </w:rPr>
      </w:pPr>
      <w:proofErr w:type="spellStart"/>
      <w:r>
        <w:rPr>
          <w:rFonts w:ascii="Arial" w:eastAsia="Arial" w:hAnsi="Arial" w:cs="Arial"/>
          <w:b/>
          <w:sz w:val="22"/>
          <w:szCs w:val="22"/>
        </w:rPr>
        <w:t>Farahwahida</w:t>
      </w:r>
      <w:proofErr w:type="spellEnd"/>
      <w:r>
        <w:rPr>
          <w:rFonts w:ascii="Arial" w:eastAsia="Arial" w:hAnsi="Arial" w:cs="Arial"/>
          <w:b/>
          <w:sz w:val="22"/>
          <w:szCs w:val="22"/>
        </w:rPr>
        <w:t xml:space="preserve"> </w:t>
      </w:r>
      <w:proofErr w:type="spellStart"/>
      <w:r>
        <w:rPr>
          <w:rFonts w:ascii="Arial" w:eastAsia="Arial" w:hAnsi="Arial" w:cs="Arial"/>
          <w:b/>
          <w:sz w:val="22"/>
          <w:szCs w:val="22"/>
        </w:rPr>
        <w:t>binti</w:t>
      </w:r>
      <w:proofErr w:type="spellEnd"/>
      <w:r>
        <w:rPr>
          <w:rFonts w:ascii="Arial" w:eastAsia="Arial" w:hAnsi="Arial" w:cs="Arial"/>
          <w:b/>
          <w:sz w:val="22"/>
          <w:szCs w:val="22"/>
        </w:rPr>
        <w:t xml:space="preserve"> </w:t>
      </w:r>
      <w:proofErr w:type="spellStart"/>
      <w:r>
        <w:rPr>
          <w:rFonts w:ascii="Arial" w:eastAsia="Arial" w:hAnsi="Arial" w:cs="Arial"/>
          <w:b/>
          <w:sz w:val="22"/>
          <w:szCs w:val="22"/>
        </w:rPr>
        <w:t>Mohd</w:t>
      </w:r>
      <w:proofErr w:type="spellEnd"/>
    </w:p>
    <w:p w14:paraId="71C02FFB" w14:textId="77777777" w:rsidR="00694A89" w:rsidRDefault="00694A89" w:rsidP="00694A89">
      <w:pPr>
        <w:jc w:val="center"/>
        <w:rPr>
          <w:rFonts w:ascii="Arial" w:eastAsia="Arial" w:hAnsi="Arial" w:cs="Arial"/>
          <w:color w:val="212121"/>
          <w:sz w:val="22"/>
          <w:szCs w:val="22"/>
        </w:rPr>
      </w:pPr>
      <w:r>
        <w:rPr>
          <w:rFonts w:ascii="Arial" w:eastAsia="Arial" w:hAnsi="Arial" w:cs="Arial"/>
          <w:color w:val="212121"/>
          <w:sz w:val="22"/>
          <w:szCs w:val="22"/>
        </w:rPr>
        <w:t xml:space="preserve">Malaysian Institute Information Technology, </w:t>
      </w:r>
      <w:proofErr w:type="spellStart"/>
      <w:r>
        <w:rPr>
          <w:rFonts w:ascii="Arial" w:eastAsia="Arial" w:hAnsi="Arial" w:cs="Arial"/>
          <w:color w:val="212121"/>
          <w:sz w:val="22"/>
          <w:szCs w:val="22"/>
        </w:rPr>
        <w:t>Universiti</w:t>
      </w:r>
      <w:proofErr w:type="spellEnd"/>
      <w:r>
        <w:rPr>
          <w:rFonts w:ascii="Arial" w:eastAsia="Arial" w:hAnsi="Arial" w:cs="Arial"/>
          <w:color w:val="212121"/>
          <w:sz w:val="22"/>
          <w:szCs w:val="22"/>
        </w:rPr>
        <w:t xml:space="preserve"> Kuala Lumpur, Malaysia</w:t>
      </w:r>
    </w:p>
    <w:p w14:paraId="48778756" w14:textId="40FE491B" w:rsidR="00A50AA7" w:rsidRDefault="008E72E3" w:rsidP="00694A89">
      <w:pPr>
        <w:jc w:val="center"/>
        <w:rPr>
          <w:rFonts w:ascii="Arial" w:eastAsia="Arial" w:hAnsi="Arial" w:cs="Arial"/>
          <w:sz w:val="22"/>
          <w:szCs w:val="22"/>
        </w:rPr>
      </w:pPr>
      <w:hyperlink r:id="rId10" w:history="1">
        <w:r w:rsidR="00C42D73" w:rsidRPr="00C16EBD">
          <w:rPr>
            <w:rStyle w:val="Hyperlink"/>
            <w:rFonts w:ascii="Arial" w:eastAsia="Arial" w:hAnsi="Arial" w:cs="Arial"/>
            <w:sz w:val="22"/>
            <w:szCs w:val="22"/>
          </w:rPr>
          <w:t>farahwahidam@unikl.edu.my</w:t>
        </w:r>
      </w:hyperlink>
    </w:p>
    <w:p w14:paraId="2C8FD02D" w14:textId="5003A8DC" w:rsidR="00A50AA7" w:rsidRDefault="00A50AA7">
      <w:pPr>
        <w:jc w:val="center"/>
        <w:rPr>
          <w:rFonts w:ascii="Arial" w:eastAsia="Arial" w:hAnsi="Arial" w:cs="Arial"/>
          <w:b/>
          <w:sz w:val="22"/>
          <w:szCs w:val="22"/>
        </w:rPr>
      </w:pPr>
    </w:p>
    <w:p w14:paraId="297ED430" w14:textId="7A5B773D" w:rsidR="00C42D73" w:rsidRDefault="00C42D73" w:rsidP="00C42D73">
      <w:pPr>
        <w:jc w:val="center"/>
        <w:rPr>
          <w:rFonts w:ascii="Arial" w:eastAsia="Arial" w:hAnsi="Arial" w:cs="Arial"/>
          <w:b/>
          <w:sz w:val="22"/>
          <w:szCs w:val="22"/>
        </w:rPr>
      </w:pPr>
      <w:proofErr w:type="spellStart"/>
      <w:r>
        <w:rPr>
          <w:rFonts w:ascii="Arial" w:eastAsia="Arial" w:hAnsi="Arial" w:cs="Arial"/>
          <w:b/>
          <w:sz w:val="22"/>
          <w:szCs w:val="22"/>
        </w:rPr>
        <w:t>Zalizah</w:t>
      </w:r>
      <w:proofErr w:type="spellEnd"/>
      <w:r>
        <w:rPr>
          <w:rFonts w:ascii="Arial" w:eastAsia="Arial" w:hAnsi="Arial" w:cs="Arial"/>
          <w:b/>
          <w:sz w:val="22"/>
          <w:szCs w:val="22"/>
        </w:rPr>
        <w:t xml:space="preserve"> </w:t>
      </w:r>
      <w:proofErr w:type="spellStart"/>
      <w:r>
        <w:rPr>
          <w:rFonts w:ascii="Arial" w:eastAsia="Arial" w:hAnsi="Arial" w:cs="Arial"/>
          <w:b/>
          <w:sz w:val="22"/>
          <w:szCs w:val="22"/>
        </w:rPr>
        <w:t>Awang</w:t>
      </w:r>
      <w:proofErr w:type="spellEnd"/>
      <w:r>
        <w:rPr>
          <w:rFonts w:ascii="Arial" w:eastAsia="Arial" w:hAnsi="Arial" w:cs="Arial"/>
          <w:b/>
          <w:sz w:val="22"/>
          <w:szCs w:val="22"/>
        </w:rPr>
        <w:t xml:space="preserve"> Long</w:t>
      </w:r>
    </w:p>
    <w:p w14:paraId="019F0F5B" w14:textId="77777777" w:rsidR="00C42D73" w:rsidRDefault="00C42D73" w:rsidP="00C42D73">
      <w:pPr>
        <w:jc w:val="center"/>
        <w:rPr>
          <w:rFonts w:ascii="Arial" w:eastAsia="Arial" w:hAnsi="Arial" w:cs="Arial"/>
          <w:color w:val="212121"/>
          <w:sz w:val="22"/>
          <w:szCs w:val="22"/>
        </w:rPr>
      </w:pPr>
      <w:r>
        <w:rPr>
          <w:rFonts w:ascii="Arial" w:eastAsia="Arial" w:hAnsi="Arial" w:cs="Arial"/>
          <w:color w:val="212121"/>
          <w:sz w:val="22"/>
          <w:szCs w:val="22"/>
        </w:rPr>
        <w:t xml:space="preserve">Malaysian Institute Information Technology, </w:t>
      </w:r>
      <w:proofErr w:type="spellStart"/>
      <w:r>
        <w:rPr>
          <w:rFonts w:ascii="Arial" w:eastAsia="Arial" w:hAnsi="Arial" w:cs="Arial"/>
          <w:color w:val="212121"/>
          <w:sz w:val="22"/>
          <w:szCs w:val="22"/>
        </w:rPr>
        <w:t>Universiti</w:t>
      </w:r>
      <w:proofErr w:type="spellEnd"/>
      <w:r>
        <w:rPr>
          <w:rFonts w:ascii="Arial" w:eastAsia="Arial" w:hAnsi="Arial" w:cs="Arial"/>
          <w:color w:val="212121"/>
          <w:sz w:val="22"/>
          <w:szCs w:val="22"/>
        </w:rPr>
        <w:t xml:space="preserve"> Kuala Lumpur, Malaysia</w:t>
      </w:r>
    </w:p>
    <w:p w14:paraId="3771F2DD" w14:textId="7D67369F" w:rsidR="00C42D73" w:rsidRDefault="008E72E3" w:rsidP="00C42D73">
      <w:pPr>
        <w:jc w:val="center"/>
        <w:rPr>
          <w:rFonts w:ascii="Arial" w:eastAsia="Arial" w:hAnsi="Arial" w:cs="Arial"/>
          <w:b/>
          <w:sz w:val="22"/>
          <w:szCs w:val="22"/>
        </w:rPr>
      </w:pPr>
      <w:hyperlink r:id="rId11" w:history="1">
        <w:r w:rsidR="00C42D73" w:rsidRPr="00C16EBD">
          <w:rPr>
            <w:rStyle w:val="Hyperlink"/>
            <w:rFonts w:ascii="Arial" w:eastAsia="Arial" w:hAnsi="Arial" w:cs="Arial"/>
            <w:sz w:val="22"/>
            <w:szCs w:val="22"/>
          </w:rPr>
          <w:t>zalizah@unikl.edu.my</w:t>
        </w:r>
      </w:hyperlink>
    </w:p>
    <w:p w14:paraId="37F4B58B" w14:textId="6E22733A" w:rsidR="00A50AA7" w:rsidRDefault="00797B9E" w:rsidP="00C42D73">
      <w:pPr>
        <w:ind w:left="720"/>
        <w:rPr>
          <w:rFonts w:ascii="Arial" w:eastAsia="Arial" w:hAnsi="Arial" w:cs="Arial"/>
          <w:sz w:val="22"/>
          <w:szCs w:val="22"/>
        </w:rPr>
      </w:pPr>
      <w:r>
        <w:rPr>
          <w:rFonts w:ascii="Arial" w:eastAsia="Arial" w:hAnsi="Arial" w:cs="Arial"/>
          <w:sz w:val="22"/>
          <w:szCs w:val="22"/>
        </w:rPr>
        <w:t xml:space="preserve"> </w:t>
      </w:r>
    </w:p>
    <w:p w14:paraId="7BA76CA4" w14:textId="76973093" w:rsidR="00C42D73" w:rsidRDefault="00C42D73" w:rsidP="00C42D73">
      <w:pPr>
        <w:jc w:val="center"/>
        <w:rPr>
          <w:rFonts w:ascii="Arial" w:eastAsia="Arial" w:hAnsi="Arial" w:cs="Arial"/>
          <w:b/>
          <w:sz w:val="22"/>
          <w:szCs w:val="22"/>
        </w:rPr>
      </w:pPr>
      <w:proofErr w:type="spellStart"/>
      <w:r>
        <w:rPr>
          <w:rFonts w:ascii="Arial" w:eastAsia="Arial" w:hAnsi="Arial" w:cs="Arial"/>
          <w:b/>
          <w:sz w:val="22"/>
          <w:szCs w:val="22"/>
        </w:rPr>
        <w:t>Singgih</w:t>
      </w:r>
      <w:proofErr w:type="spellEnd"/>
      <w:r>
        <w:rPr>
          <w:rFonts w:ascii="Arial" w:eastAsia="Arial" w:hAnsi="Arial" w:cs="Arial"/>
          <w:b/>
          <w:sz w:val="22"/>
          <w:szCs w:val="22"/>
        </w:rPr>
        <w:t xml:space="preserve"> </w:t>
      </w:r>
      <w:proofErr w:type="spellStart"/>
      <w:r>
        <w:rPr>
          <w:rFonts w:ascii="Arial" w:eastAsia="Arial" w:hAnsi="Arial" w:cs="Arial"/>
          <w:b/>
          <w:sz w:val="22"/>
          <w:szCs w:val="22"/>
        </w:rPr>
        <w:t>Purnomo</w:t>
      </w:r>
      <w:proofErr w:type="spellEnd"/>
    </w:p>
    <w:p w14:paraId="60FFCB95" w14:textId="29B0E0D3" w:rsidR="00C42D73" w:rsidRDefault="00433807" w:rsidP="00C42D73">
      <w:pPr>
        <w:jc w:val="center"/>
        <w:rPr>
          <w:rFonts w:ascii="Arial" w:eastAsia="Arial" w:hAnsi="Arial" w:cs="Arial"/>
          <w:color w:val="212121"/>
          <w:sz w:val="22"/>
          <w:szCs w:val="22"/>
        </w:rPr>
      </w:pPr>
      <w:proofErr w:type="spellStart"/>
      <w:r>
        <w:rPr>
          <w:rFonts w:ascii="Arial" w:eastAsia="Arial" w:hAnsi="Arial" w:cs="Arial"/>
          <w:color w:val="212121"/>
          <w:sz w:val="22"/>
          <w:szCs w:val="22"/>
        </w:rPr>
        <w:t>Fakultas</w:t>
      </w:r>
      <w:proofErr w:type="spellEnd"/>
      <w:r>
        <w:rPr>
          <w:rFonts w:ascii="Arial" w:eastAsia="Arial" w:hAnsi="Arial" w:cs="Arial"/>
          <w:color w:val="212121"/>
          <w:sz w:val="22"/>
          <w:szCs w:val="22"/>
        </w:rPr>
        <w:t xml:space="preserve"> </w:t>
      </w:r>
      <w:proofErr w:type="spellStart"/>
      <w:r>
        <w:rPr>
          <w:rFonts w:ascii="Arial" w:eastAsia="Arial" w:hAnsi="Arial" w:cs="Arial"/>
          <w:color w:val="212121"/>
          <w:sz w:val="22"/>
          <w:szCs w:val="22"/>
        </w:rPr>
        <w:t>Hukum</w:t>
      </w:r>
      <w:proofErr w:type="spellEnd"/>
      <w:r>
        <w:rPr>
          <w:rFonts w:ascii="Arial" w:eastAsia="Arial" w:hAnsi="Arial" w:cs="Arial"/>
          <w:color w:val="212121"/>
          <w:sz w:val="22"/>
          <w:szCs w:val="22"/>
        </w:rPr>
        <w:t xml:space="preserve"> </w:t>
      </w:r>
      <w:proofErr w:type="spellStart"/>
      <w:r>
        <w:rPr>
          <w:rFonts w:ascii="Arial" w:eastAsia="Arial" w:hAnsi="Arial" w:cs="Arial"/>
          <w:color w:val="212121"/>
          <w:sz w:val="22"/>
          <w:szCs w:val="22"/>
        </w:rPr>
        <w:t>dan</w:t>
      </w:r>
      <w:proofErr w:type="spellEnd"/>
      <w:r>
        <w:rPr>
          <w:rFonts w:ascii="Arial" w:eastAsia="Arial" w:hAnsi="Arial" w:cs="Arial"/>
          <w:color w:val="212121"/>
          <w:sz w:val="22"/>
          <w:szCs w:val="22"/>
        </w:rPr>
        <w:t xml:space="preserve"> </w:t>
      </w:r>
      <w:proofErr w:type="spellStart"/>
      <w:r>
        <w:rPr>
          <w:rFonts w:ascii="Arial" w:eastAsia="Arial" w:hAnsi="Arial" w:cs="Arial"/>
          <w:color w:val="212121"/>
          <w:sz w:val="22"/>
          <w:szCs w:val="22"/>
        </w:rPr>
        <w:t>Bisnis</w:t>
      </w:r>
      <w:proofErr w:type="spellEnd"/>
      <w:r w:rsidR="00C42D73">
        <w:rPr>
          <w:rFonts w:ascii="Arial" w:eastAsia="Arial" w:hAnsi="Arial" w:cs="Arial"/>
          <w:color w:val="212121"/>
          <w:sz w:val="22"/>
          <w:szCs w:val="22"/>
        </w:rPr>
        <w:t xml:space="preserve">, </w:t>
      </w:r>
      <w:proofErr w:type="spellStart"/>
      <w:r>
        <w:rPr>
          <w:rFonts w:ascii="Arial" w:eastAsia="Arial" w:hAnsi="Arial" w:cs="Arial"/>
          <w:color w:val="212121"/>
          <w:sz w:val="22"/>
          <w:szCs w:val="22"/>
        </w:rPr>
        <w:t>Universitas</w:t>
      </w:r>
      <w:proofErr w:type="spellEnd"/>
      <w:r>
        <w:rPr>
          <w:rFonts w:ascii="Arial" w:eastAsia="Arial" w:hAnsi="Arial" w:cs="Arial"/>
          <w:color w:val="212121"/>
          <w:sz w:val="22"/>
          <w:szCs w:val="22"/>
        </w:rPr>
        <w:t xml:space="preserve"> Duta </w:t>
      </w:r>
      <w:proofErr w:type="spellStart"/>
      <w:r>
        <w:rPr>
          <w:rFonts w:ascii="Arial" w:eastAsia="Arial" w:hAnsi="Arial" w:cs="Arial"/>
          <w:color w:val="212121"/>
          <w:sz w:val="22"/>
          <w:szCs w:val="22"/>
        </w:rPr>
        <w:t>Bangsa</w:t>
      </w:r>
      <w:proofErr w:type="spellEnd"/>
      <w:r w:rsidR="00C42D73">
        <w:rPr>
          <w:rFonts w:ascii="Arial" w:eastAsia="Arial" w:hAnsi="Arial" w:cs="Arial"/>
          <w:color w:val="212121"/>
          <w:sz w:val="22"/>
          <w:szCs w:val="22"/>
        </w:rPr>
        <w:t xml:space="preserve">, </w:t>
      </w:r>
      <w:r>
        <w:rPr>
          <w:rFonts w:ascii="Arial" w:eastAsia="Arial" w:hAnsi="Arial" w:cs="Arial"/>
          <w:color w:val="212121"/>
          <w:sz w:val="22"/>
          <w:szCs w:val="22"/>
        </w:rPr>
        <w:t>Indonesia</w:t>
      </w:r>
    </w:p>
    <w:p w14:paraId="41E560CD" w14:textId="4899F209" w:rsidR="00A50AA7" w:rsidRDefault="008E72E3" w:rsidP="00C42D73">
      <w:pPr>
        <w:jc w:val="center"/>
        <w:rPr>
          <w:rFonts w:ascii="Arial" w:eastAsia="Arial" w:hAnsi="Arial" w:cs="Arial"/>
          <w:sz w:val="22"/>
          <w:szCs w:val="22"/>
        </w:rPr>
      </w:pPr>
      <w:hyperlink r:id="rId12" w:history="1">
        <w:r w:rsidR="00C42D73" w:rsidRPr="00C16EBD">
          <w:rPr>
            <w:rStyle w:val="Hyperlink"/>
            <w:rFonts w:ascii="Arial" w:eastAsia="Arial" w:hAnsi="Arial" w:cs="Arial"/>
            <w:sz w:val="22"/>
            <w:szCs w:val="22"/>
          </w:rPr>
          <w:t>singgih_purnomo@udb.ac.id</w:t>
        </w:r>
      </w:hyperlink>
    </w:p>
    <w:p w14:paraId="17BF6102" w14:textId="77777777" w:rsidR="00A50AA7" w:rsidRDefault="00A50AA7">
      <w:pPr>
        <w:jc w:val="center"/>
        <w:rPr>
          <w:rFonts w:ascii="Arial" w:eastAsia="Arial" w:hAnsi="Arial" w:cs="Arial"/>
          <w:b/>
          <w:sz w:val="22"/>
          <w:szCs w:val="22"/>
        </w:rPr>
      </w:pPr>
    </w:p>
    <w:p w14:paraId="23F9369C" w14:textId="77777777" w:rsidR="00A50AA7" w:rsidRDefault="00797B9E">
      <w:pPr>
        <w:jc w:val="center"/>
        <w:rPr>
          <w:rFonts w:ascii="Arial" w:eastAsia="Arial" w:hAnsi="Arial" w:cs="Arial"/>
          <w:b/>
          <w:sz w:val="22"/>
          <w:szCs w:val="22"/>
        </w:rPr>
      </w:pPr>
      <w:r>
        <w:rPr>
          <w:rFonts w:ascii="Arial" w:eastAsia="Arial" w:hAnsi="Arial" w:cs="Arial"/>
          <w:b/>
          <w:sz w:val="22"/>
          <w:szCs w:val="22"/>
        </w:rPr>
        <w:t>ABSTRACT</w:t>
      </w:r>
    </w:p>
    <w:p w14:paraId="2AB0D0F2" w14:textId="224A856F" w:rsidR="00A50AA7" w:rsidRDefault="00AA365D" w:rsidP="00AA365D">
      <w:pPr>
        <w:jc w:val="both"/>
        <w:rPr>
          <w:rFonts w:ascii="Arial" w:eastAsia="Arial" w:hAnsi="Arial" w:cs="Arial"/>
          <w:sz w:val="22"/>
          <w:szCs w:val="22"/>
        </w:rPr>
      </w:pPr>
      <w:r w:rsidRPr="00AA365D">
        <w:rPr>
          <w:rFonts w:ascii="Arial" w:eastAsia="Arial" w:hAnsi="Arial" w:cs="Arial"/>
        </w:rPr>
        <w:t>The rapid development of information and communication technology influences changes in aspects of life in the economic sector. The application of information and communication technology supports business development. The development of the internet has become a technology that makes business activities such as marketing and sales easier. The growth of internet users in Indonesia reached 78% of the total population. E-commerce users in Indonesia reach 34.10% of all business people in Indonesia. One place to sell online is through e-marketplace. Many e-marketplaces require sellers to select e-marketplaces as a place to sell their products online. Each e-marketplace has different characteristics, so you must consider many factors when choosing an e-marketplace. In this research, it is known that two factors are formed based on factor analysis, namely the Product Quality Factor, the Service and Quality Factor, and the System Factor. In addition, the market selection model was determined using binary logistic regression analysis. The model formed in this research is the e-marketplace selection model Tokopedia, Shopee, and Lazada. Based on the results of the feasibility model using binary logistic regression, it produces an overall e-marketplace selection model with an accuracy level of 76.13%. This evaluation model can be used by sellers who want to choose a market that suits the products offered to increase profits.</w:t>
      </w:r>
    </w:p>
    <w:p w14:paraId="5C4C9852" w14:textId="77777777" w:rsidR="00A50AA7" w:rsidRDefault="00A50AA7">
      <w:pPr>
        <w:rPr>
          <w:rFonts w:ascii="Arial" w:eastAsia="Arial" w:hAnsi="Arial" w:cs="Arial"/>
          <w:sz w:val="22"/>
          <w:szCs w:val="22"/>
        </w:rPr>
      </w:pPr>
    </w:p>
    <w:p w14:paraId="1DC6403C" w14:textId="711B9580" w:rsidR="00A50AA7" w:rsidRPr="00C42D73" w:rsidRDefault="00C42D73">
      <w:pPr>
        <w:jc w:val="both"/>
        <w:rPr>
          <w:rFonts w:ascii="Arial" w:eastAsia="Arial" w:hAnsi="Arial" w:cs="Arial"/>
          <w:bCs/>
          <w:sz w:val="22"/>
          <w:szCs w:val="22"/>
        </w:rPr>
      </w:pPr>
      <w:r>
        <w:rPr>
          <w:rFonts w:ascii="Arial" w:eastAsia="Arial" w:hAnsi="Arial" w:cs="Arial"/>
          <w:b/>
          <w:sz w:val="22"/>
          <w:szCs w:val="22"/>
        </w:rPr>
        <w:t>Keywords:</w:t>
      </w:r>
      <w:r w:rsidR="00694A89">
        <w:rPr>
          <w:rFonts w:ascii="Arial" w:eastAsia="Arial" w:hAnsi="Arial" w:cs="Arial"/>
          <w:b/>
          <w:sz w:val="22"/>
          <w:szCs w:val="22"/>
        </w:rPr>
        <w:t xml:space="preserve"> </w:t>
      </w:r>
      <w:r w:rsidRPr="00C42D73">
        <w:rPr>
          <w:rFonts w:ascii="Arial" w:eastAsia="Arial" w:hAnsi="Arial" w:cs="Arial"/>
          <w:bCs/>
          <w:sz w:val="22"/>
          <w:szCs w:val="22"/>
        </w:rPr>
        <w:t>factor</w:t>
      </w:r>
      <w:r>
        <w:rPr>
          <w:rFonts w:ascii="Arial" w:eastAsia="Arial" w:hAnsi="Arial" w:cs="Arial"/>
          <w:bCs/>
          <w:sz w:val="22"/>
          <w:szCs w:val="22"/>
        </w:rPr>
        <w:t>, selection, e-marketplace, binary, logistic, regression</w:t>
      </w:r>
    </w:p>
    <w:p w14:paraId="36746E70" w14:textId="4B4201A2" w:rsidR="00A50AA7" w:rsidRDefault="00A50AA7" w:rsidP="00694A89">
      <w:pPr>
        <w:rPr>
          <w:rFonts w:ascii="Arial" w:eastAsia="Arial" w:hAnsi="Arial" w:cs="Arial"/>
        </w:rPr>
      </w:pPr>
    </w:p>
    <w:p w14:paraId="5F7AF446" w14:textId="77777777" w:rsidR="00694A89" w:rsidRPr="00694A89" w:rsidRDefault="00694A89" w:rsidP="00694A89">
      <w:pPr>
        <w:rPr>
          <w:rFonts w:ascii="Arial" w:eastAsia="Arial" w:hAnsi="Arial" w:cs="Arial"/>
        </w:rPr>
      </w:pPr>
    </w:p>
    <w:p w14:paraId="4363BF4E" w14:textId="64AEE634" w:rsidR="00783E33" w:rsidRPr="00783E33" w:rsidRDefault="00C42D73" w:rsidP="00783E33">
      <w:pPr>
        <w:pStyle w:val="Heading1"/>
        <w:rPr>
          <w:rFonts w:ascii="Arial" w:eastAsia="Arial" w:hAnsi="Arial" w:cs="Arial"/>
          <w:b/>
          <w:bCs/>
          <w:color w:val="000000" w:themeColor="text1"/>
          <w:sz w:val="22"/>
          <w:szCs w:val="22"/>
        </w:rPr>
      </w:pPr>
      <w:r w:rsidRPr="00783E33">
        <w:rPr>
          <w:rFonts w:ascii="Arial" w:eastAsia="Arial" w:hAnsi="Arial" w:cs="Arial"/>
          <w:b/>
          <w:bCs/>
          <w:color w:val="000000" w:themeColor="text1"/>
          <w:sz w:val="22"/>
          <w:szCs w:val="22"/>
        </w:rPr>
        <w:t>INTRODUCTION</w:t>
      </w:r>
    </w:p>
    <w:p w14:paraId="4C385CE9" w14:textId="77777777" w:rsidR="00EB1214" w:rsidRPr="00EB1214" w:rsidRDefault="00EB1214" w:rsidP="00EB1214">
      <w:pPr>
        <w:ind w:firstLine="720"/>
        <w:contextualSpacing/>
        <w:jc w:val="both"/>
        <w:rPr>
          <w:rFonts w:ascii="Arial" w:hAnsi="Arial" w:cs="Arial"/>
          <w:color w:val="000000" w:themeColor="text1"/>
          <w:lang w:val="en-US"/>
        </w:rPr>
      </w:pPr>
      <w:r w:rsidRPr="00EB1214">
        <w:rPr>
          <w:rFonts w:ascii="Arial" w:hAnsi="Arial" w:cs="Arial"/>
          <w:lang w:val="sv-SE"/>
        </w:rPr>
        <w:t xml:space="preserve">The rapid development of information technology and the internet has given rise to innovations related to technology and the internet. Electronic commerce kn, known as an e-marketplace, is one of the innovations from the development of technology and the internet. E-marketplace is a place for buying and selling or exchanging goods, services and information using computer network media </w:t>
      </w:r>
      <w:r w:rsidRPr="00EB1214">
        <w:rPr>
          <w:rFonts w:ascii="Arial" w:hAnsi="Arial" w:cs="Arial"/>
          <w:lang w:val="sv-SE"/>
        </w:rPr>
        <w:fldChar w:fldCharType="begin" w:fldLock="1"/>
      </w:r>
      <w:r w:rsidRPr="00EB1214">
        <w:rPr>
          <w:rFonts w:ascii="Arial" w:hAnsi="Arial" w:cs="Arial"/>
          <w:lang w:val="sv-SE"/>
        </w:rPr>
        <w:instrText>ADDIN CSL_CITATION {"citationItems":[{"id":"ITEM-1","itemData":{"ISBN":"0139752854","PMID":"42545880","abstract":"For undergraduate and graduate courses in electronic commerce, this textbook offers a comprehensive managerial approach to electronic commerce. This new edition emphasizes the impact that social computing is having on the business world and global economy.","author":[{"dropping-particle":"","family":"Turban","given":"Efraim","non-dropping-particle":"","parse-names":false,"suffix":""},{"dropping-particle":"","family":"Lee","given":"Jae Kyu","non-dropping-particle":"","parse-names":false,"suffix":""},{"dropping-particle":"","family":"King","given":"Dave","non-dropping-particle":"","parse-names":false,"suffix":""},{"dropping-particle":"","family":"McKay","given":"Judy","non-dropping-particle":"","parse-names":false,"suffix":""},{"dropping-particle":"","family":"Marshall","given":"Peter","non-dropping-particle":"","parse-names":false,"suffix":""}],"edition":"9","id":"ITEM-1","issued":{"date-parts":[["2018"]]},"publisher":"Springer","publisher-place":"Berlin","title":"Electronic Commerce: a managerial perspective 2008","type":"book"},"uris":["http://www.mendeley.com/documents/?uuid=56918349-3eb2-40a7-a8b0-21db84a5e687"]}],"mendeley":{"formattedCitation":"(Turban et al., 2018)","plainTextFormattedCitation":"(Turban et al., 2018)","previouslyFormattedCitation":"(Turban et al., 2018)"},"properties":{"noteIndex":0},"schema":"https://github.com/citation-style-language/schema/raw/master/csl-citation.json"}</w:instrText>
      </w:r>
      <w:r w:rsidRPr="00EB1214">
        <w:rPr>
          <w:rFonts w:ascii="Arial" w:hAnsi="Arial" w:cs="Arial"/>
          <w:lang w:val="sv-SE"/>
        </w:rPr>
        <w:fldChar w:fldCharType="separate"/>
      </w:r>
      <w:r w:rsidRPr="00EB1214">
        <w:rPr>
          <w:rFonts w:ascii="Arial" w:hAnsi="Arial" w:cs="Arial"/>
          <w:noProof/>
          <w:lang w:val="sv-SE"/>
        </w:rPr>
        <w:t>(Turban et al., 2018)</w:t>
      </w:r>
      <w:r w:rsidRPr="00EB1214">
        <w:rPr>
          <w:rFonts w:ascii="Arial" w:hAnsi="Arial" w:cs="Arial"/>
          <w:lang w:val="sv-SE"/>
        </w:rPr>
        <w:fldChar w:fldCharType="end"/>
      </w:r>
      <w:r w:rsidRPr="00EB1214">
        <w:rPr>
          <w:rFonts w:ascii="Arial" w:hAnsi="Arial" w:cs="Arial"/>
          <w:lang w:val="sv-SE"/>
        </w:rPr>
        <w:t xml:space="preserve"> . E-marketplace platforms available in Indonesia include Shopee, Tokopedia, Blibli, Lazada, and Bukalapak. E-marketplaces are a new opportunity for sellers to market and sell products online without needing to invest in a sales platform or have knowledge of legal aspects</w:t>
      </w:r>
      <w:r w:rsidRPr="00EB1214">
        <w:rPr>
          <w:rFonts w:ascii="Arial" w:hAnsi="Arial" w:cs="Arial"/>
          <w:color w:val="000000" w:themeColor="text1"/>
          <w:lang w:val="en-US"/>
        </w:rPr>
        <w:t xml:space="preserve"> </w:t>
      </w:r>
      <w:r w:rsidRPr="00EB1214">
        <w:rPr>
          <w:rFonts w:ascii="Arial" w:hAnsi="Arial" w:cs="Arial"/>
          <w:color w:val="000000" w:themeColor="text1"/>
          <w:lang w:val="en-US"/>
        </w:rPr>
        <w:fldChar w:fldCharType="begin" w:fldLock="1"/>
      </w:r>
      <w:r w:rsidRPr="00EB1214">
        <w:rPr>
          <w:rFonts w:ascii="Arial" w:hAnsi="Arial" w:cs="Arial"/>
          <w:color w:val="000000" w:themeColor="text1"/>
          <w:lang w:val="en-US"/>
        </w:rPr>
        <w:instrText>ADDIN CSL_CITATION {"citationItems":[{"id":"ITEM-1","itemData":{"author":[{"dropping-particle":"","family":"Kawa","given":"Arkadiusz","non-dropping-particle":"","parse-names":false,"suffix":""}],"id":"ITEM-1","issue":"4","issued":{"date-parts":[["2019"]]},"page":"521-529","title":"LogForum","type":"article-journal","volume":"15"},"uris":["http://www.mendeley.com/documents/?uuid=9660b369-0da0-41d7-8aa8-e8a49f4c8c2a","http://www.mendeley.com/documents/?uuid=dfe3526e-b356-4998-b435-5a71d6ce3c17","http://www.mendeley.com/documents/?uuid=2cd824c7-1a6d-4adf-8204-b62a4a26767a"]}],"mendeley":{"formattedCitation":"(Kawa, 2019)","plainTextFormattedCitation":"(Kawa, 2019)","previouslyFormattedCitation":"(Kawa, 2019)"},"properties":{"noteIndex":0},"schema":"https://github.com/citation-style-language/schema/raw/master/csl-citation.json"}</w:instrText>
      </w:r>
      <w:r w:rsidRPr="00EB1214">
        <w:rPr>
          <w:rFonts w:ascii="Arial" w:hAnsi="Arial" w:cs="Arial"/>
          <w:color w:val="000000" w:themeColor="text1"/>
          <w:lang w:val="en-US"/>
        </w:rPr>
        <w:fldChar w:fldCharType="separate"/>
      </w:r>
      <w:r w:rsidRPr="00EB1214">
        <w:rPr>
          <w:rFonts w:ascii="Arial" w:hAnsi="Arial" w:cs="Arial"/>
          <w:noProof/>
          <w:color w:val="000000" w:themeColor="text1"/>
          <w:lang w:val="en-US"/>
        </w:rPr>
        <w:t>(Kawa, 2019)</w:t>
      </w:r>
      <w:r w:rsidRPr="00EB1214">
        <w:rPr>
          <w:rFonts w:ascii="Arial" w:hAnsi="Arial" w:cs="Arial"/>
          <w:color w:val="000000" w:themeColor="text1"/>
          <w:lang w:val="en-US"/>
        </w:rPr>
        <w:fldChar w:fldCharType="end"/>
      </w:r>
      <w:r w:rsidRPr="00EB1214">
        <w:rPr>
          <w:rFonts w:ascii="Arial" w:hAnsi="Arial" w:cs="Arial"/>
          <w:color w:val="000000" w:themeColor="text1"/>
          <w:lang w:val="en-US"/>
        </w:rPr>
        <w:t xml:space="preserve">. Each e-marketplace has different characteristics, so sellers must be selective in choosing an e-marketplace to market their products </w:t>
      </w:r>
      <w:r w:rsidRPr="00EB1214">
        <w:rPr>
          <w:rStyle w:val="y2iqfc"/>
          <w:rFonts w:ascii="Arial" w:hAnsi="Arial" w:cs="Arial"/>
          <w:color w:val="000000" w:themeColor="text1"/>
          <w:lang w:val="en-US"/>
        </w:rPr>
        <w:t xml:space="preserve"> </w:t>
      </w:r>
      <w:r w:rsidRPr="00EB1214">
        <w:rPr>
          <w:rStyle w:val="y2iqfc"/>
          <w:rFonts w:ascii="Arial" w:hAnsi="Arial" w:cs="Arial"/>
          <w:color w:val="000000" w:themeColor="text1"/>
          <w:lang w:val="en-US"/>
        </w:rPr>
        <w:fldChar w:fldCharType="begin" w:fldLock="1"/>
      </w:r>
      <w:r w:rsidRPr="00EB1214">
        <w:rPr>
          <w:rStyle w:val="y2iqfc"/>
          <w:rFonts w:ascii="Arial" w:hAnsi="Arial" w:cs="Arial"/>
          <w:color w:val="000000" w:themeColor="text1"/>
          <w:lang w:val="en-US"/>
        </w:rPr>
        <w:instrText>ADDIN CSL_CITATION {"citationItems":[{"id":"ITEM-1","itemData":{"DOI":"10.1051/e3sconf/202020214002","ISSN":"22671242","abstract":"Many similar products offered by several sellers in e-marketplace applications make the buyers need to be more selective when shopping. This article addresses the prioritization of the goods sellers alternatives in e-marketplace by integrating the VIKOR with the SMARTER method for the process of multi-criteria decision making (MCDM) by considering various variables as selection criteria. There are five variables of sellers in the e-marketplace that are used as selection criteria, namely: product price, number of products sold, seller score rating, number of reviews with five stars, and location distance. The SMARTER method is used to determine the criteria weight, and the VIKOR model to rank the alternative priorities according to the weighted index. The case studies are conducted on three e-marketplace in Indonesia with the most number of monthly web visitors, namely: Shopee, Tokopedia, and Bukalapak. Finally, integration of SMARTER and VIKOR method allows the buyers to get the good products at competitive prices from the optimal goods sellers in the e-marketplace.","author":[{"dropping-particle":"","family":"Arif","given":"Miftahul","non-dropping-particle":"","parse-names":false,"suffix":""},{"dropping-particle":"","family":"Suseno","given":"Jatmiko Endro","non-dropping-particle":"","parse-names":false,"suffix":""},{"dropping-particle":"","family":"Isnanto","given":"R. Rizal","non-dropping-particle":"","parse-names":false,"suffix":""}],"container-title":"E3S Web of Conferences","id":"ITEM-1","issued":{"date-parts":[["2020"]]},"page":"1-10","title":"Multi-Criteria Decision Making with the VIKOR and SMARTER Methods for Optimal Seller Selection from Several E-Marketplaces","type":"article-journal","volume":"202"},"uris":["http://www.mendeley.com/documents/?uuid=6049fead-54ee-474a-938e-c36c7ada979e","http://www.mendeley.com/documents/?uuid=7c080371-69b6-4d21-a4d6-ecab8cbcbac0"]},{"id":"ITEM-2","itemData":{"DOI":"10.1109/CITSM50537.2020.9268823","ISBN":"9781728177014","abstract":"Indonesian online sales are currently experiencing rapid growth and can provide solutions to the problems of marketing products for Micro, Small, and Medium Enterprises (MSMEs) managed by women entrepreneurs. There are several obstacles in marketing the product, including lack of e-marketplace information, HR skills, product design that is less attractive, and the quality of the goods produced so that it can cause bankruptcy. The sample in this study was taken from MSMEs, managed by women entrepreneurs randomly in Indonesia. This study uses primary data obtained through questionnaire instruments. Data is processed using the Simple Multi-Attribute Rating Technique (Smart) Method. The results of this study found that market services, infrastructure, transaction security, costs, promotions, and value-added services had a positive impact on seller loyalty. Market service is a factor that has the greatest influence on the loyalty of women entrepreneurs in online sellers.","author":[{"dropping-particle":"","family":"Marlinda","given":"Linda","non-dropping-particle":"","parse-names":false,"suffix":""},{"dropping-particle":"","family":"Durachman","given":"Yusuf","non-dropping-particle":"","parse-names":false,"suffix":""},{"dropping-particle":"","family":"Zuraidah","given":"Eva","non-dropping-particle":"","parse-names":false,"suffix":""},{"dropping-particle":"","family":"Tukino","given":"","non-dropping-particle":"","parse-names":false,"suffix":""},{"dropping-particle":"","family":"Widivawati","given":"","non-dropping-particle":"","parse-names":false,"suffix":""},{"dropping-particle":"","family":"Hanadwiputra","given":"Sabar","non-dropping-particle":"","parse-names":false,"suffix":""}],"container-title":"2020 8th International Conference on Cyber and IT Service Management, CITSM 2020","id":"ITEM-2","issued":{"date-parts":[["2020"]]},"title":"Selection of E-Marketplaces Factors Affecting Indonesian Women's Business Loyalty Using Simple Multi-Attribute Rating Technique (SMART) Method","type":"article-journal"},"uris":["http://www.mendeley.com/documents/?uuid=e80e092c-cfad-424f-8a67-48851ca9393f","http://www.mendeley.com/documents/?uuid=026cd063-7132-49a4-8d6f-e0b3029f8ac1","http://www.mendeley.com/documents/?uuid=c7e23c55-57df-4a04-ad1b-78413bf6aa4c"]}],"mendeley":{"formattedCitation":"(Arif et al., 2020; Marlinda et al., 2020)","plainTextFormattedCitation":"(Arif et al., 2020; Marlinda et al., 2020)","previouslyFormattedCitation":"(Arif et al., 2020; Marlinda et al., 2020)"},"properties":{"noteIndex":0},"schema":"https://github.com/citation-style-language/schema/raw/master/csl-citation.json"}</w:instrText>
      </w:r>
      <w:r w:rsidRPr="00EB1214">
        <w:rPr>
          <w:rStyle w:val="y2iqfc"/>
          <w:rFonts w:ascii="Arial" w:hAnsi="Arial" w:cs="Arial"/>
          <w:color w:val="000000" w:themeColor="text1"/>
          <w:lang w:val="en-US"/>
        </w:rPr>
        <w:fldChar w:fldCharType="separate"/>
      </w:r>
      <w:r w:rsidRPr="00EB1214">
        <w:rPr>
          <w:rStyle w:val="y2iqfc"/>
          <w:rFonts w:ascii="Arial" w:hAnsi="Arial" w:cs="Arial"/>
          <w:noProof/>
          <w:color w:val="000000" w:themeColor="text1"/>
          <w:lang w:val="en-US"/>
        </w:rPr>
        <w:t>(Arif et al., 2020; Marlinda et al., 2020)</w:t>
      </w:r>
      <w:r w:rsidRPr="00EB1214">
        <w:rPr>
          <w:rStyle w:val="y2iqfc"/>
          <w:rFonts w:ascii="Arial" w:hAnsi="Arial" w:cs="Arial"/>
          <w:color w:val="000000" w:themeColor="text1"/>
          <w:lang w:val="en-US"/>
        </w:rPr>
        <w:fldChar w:fldCharType="end"/>
      </w:r>
      <w:r w:rsidRPr="00EB1214">
        <w:rPr>
          <w:rFonts w:ascii="Arial" w:hAnsi="Arial" w:cs="Arial"/>
          <w:color w:val="000000" w:themeColor="text1"/>
          <w:lang w:val="en-US"/>
        </w:rPr>
        <w:t>. Key factors in choosing an e-marketplace become successful in determining an e-marketplace. Factors that influence e-</w:t>
      </w:r>
      <w:r w:rsidRPr="00EB1214">
        <w:rPr>
          <w:rFonts w:ascii="Arial" w:hAnsi="Arial" w:cs="Arial"/>
          <w:color w:val="000000" w:themeColor="text1"/>
          <w:lang w:val="en-US"/>
        </w:rPr>
        <w:lastRenderedPageBreak/>
        <w:t xml:space="preserve">marketplace selection are trust, technical, platform, platform owner, product, service operations, sellers, marketing and sales, payment channels, buyers, and environment </w:t>
      </w:r>
      <w:r w:rsidRPr="00EB1214">
        <w:rPr>
          <w:rFonts w:ascii="Arial" w:hAnsi="Arial" w:cs="Arial"/>
          <w:color w:val="000000" w:themeColor="text1"/>
          <w:lang w:val="en-US"/>
        </w:rPr>
        <w:fldChar w:fldCharType="begin" w:fldLock="1"/>
      </w:r>
      <w:r w:rsidRPr="00EB1214">
        <w:rPr>
          <w:rFonts w:ascii="Arial" w:hAnsi="Arial" w:cs="Arial"/>
          <w:color w:val="000000" w:themeColor="text1"/>
          <w:lang w:val="en-US"/>
        </w:rPr>
        <w:instrText>ADDIN CSL_CITATION {"citationItems":[{"id":"ITEM-1","itemData":{"DOI":"10.1109/ICIMTech.2018.8528189","ISBN":"9781538658215","abstract":"Globally, internet users and mobile phone are increasing significantly all the time. One of the impacts from the growth of it, there is the revolution in a traditional market. Nowadays, people tend to buy something through an online channel or electronic marketplace (e-marketplace). This study aims to obtain literature of key success factors of e-marketplace implementation. It uses Preferred Reporting Items for Systematic Reviews and Meta-Analyses (PRISMA) guidelines to articles published in 2005-2018. A total of 231 articles obtain from considerable databases for instance: IEEE Explore, ACM Digital Library, Science Direct and etc. Furthermore, it validates and examines in order to obtain 37 articles which can be used as the main study. As the result, it finds 11 key success factors for e-marketplace as follows: Trust, technical, platform, platform owner, product, service operation, seller, marketing and sales, payment channel, buyer, and environmental.","author":[{"dropping-particle":"","family":"Prihastomo","given":"Yoga","non-dropping-particle":"","parse-names":false,"suffix":""},{"dropping-particle":"","family":"Meyliana","given":"","non-dropping-particle":"","parse-names":false,"suffix":""},{"dropping-particle":"","family":"Hidayanto","given":"Achmad Nizar","non-dropping-particle":"","parse-names":false,"suffix":""},{"dropping-particle":"","family":"Prabowo","given":"Harjanto","non-dropping-particle":"","parse-names":false,"suffix":""}],"container-title":"Proceedings of 2018 International Conference on Information Management and Technology, ICIMTech 2018","id":"ITEM-1","issue":"September","issued":{"date-parts":[["2018"]]},"page":"443-448","publisher":"IEEE","title":"The Key Success Factors in E-Marketplace Implementation: A Systematic Literature Review","type":"article-journal"},"uris":["http://www.mendeley.com/documents/?uuid=84af2383-651c-406c-9edf-b0961ffb0ac1"]}],"mendeley":{"formattedCitation":"(Prihastomo et al., 2018)","plainTextFormattedCitation":"(Prihastomo et al., 2018)","previouslyFormattedCitation":"(Prihastomo et al., 2018)"},"properties":{"noteIndex":0},"schema":"https://github.com/citation-style-language/schema/raw/master/csl-citation.json"}</w:instrText>
      </w:r>
      <w:r w:rsidRPr="00EB1214">
        <w:rPr>
          <w:rFonts w:ascii="Arial" w:hAnsi="Arial" w:cs="Arial"/>
          <w:color w:val="000000" w:themeColor="text1"/>
          <w:lang w:val="en-US"/>
        </w:rPr>
        <w:fldChar w:fldCharType="separate"/>
      </w:r>
      <w:r w:rsidRPr="00EB1214">
        <w:rPr>
          <w:rFonts w:ascii="Arial" w:hAnsi="Arial" w:cs="Arial"/>
          <w:noProof/>
          <w:color w:val="000000" w:themeColor="text1"/>
          <w:lang w:val="en-US"/>
        </w:rPr>
        <w:t>(Prihastomo et al., 2018)</w:t>
      </w:r>
      <w:r w:rsidRPr="00EB1214">
        <w:rPr>
          <w:rFonts w:ascii="Arial" w:hAnsi="Arial" w:cs="Arial"/>
          <w:color w:val="000000" w:themeColor="text1"/>
          <w:lang w:val="en-US"/>
        </w:rPr>
        <w:fldChar w:fldCharType="end"/>
      </w:r>
      <w:r w:rsidRPr="00EB1214">
        <w:rPr>
          <w:rFonts w:ascii="Arial" w:hAnsi="Arial" w:cs="Arial"/>
          <w:color w:val="000000" w:themeColor="text1"/>
          <w:lang w:val="en-US"/>
        </w:rPr>
        <w:t>.</w:t>
      </w:r>
    </w:p>
    <w:p w14:paraId="29513A27" w14:textId="77777777" w:rsidR="00EB1214" w:rsidRPr="00EB1214" w:rsidRDefault="00EB1214" w:rsidP="00EB1214">
      <w:pPr>
        <w:ind w:firstLine="720"/>
        <w:contextualSpacing/>
        <w:jc w:val="both"/>
        <w:rPr>
          <w:rFonts w:ascii="Arial" w:hAnsi="Arial" w:cs="Arial"/>
          <w:color w:val="000000" w:themeColor="text1"/>
          <w:lang w:val="en-US"/>
        </w:rPr>
      </w:pPr>
      <w:r w:rsidRPr="00EB1214">
        <w:rPr>
          <w:rFonts w:ascii="Arial" w:hAnsi="Arial" w:cs="Arial"/>
          <w:color w:val="000000" w:themeColor="text1"/>
          <w:lang w:val="en-US"/>
        </w:rPr>
        <w:t xml:space="preserve">Factor analysis is a multivariate statistical procedure commonly used to reduce many variables or factors into smaller sets. Additionally, factor analysis can determine the underlying dimensions between measured factors and latent constructs, thereby enabling theory building and refinement </w:t>
      </w:r>
      <w:r w:rsidRPr="00EB1214">
        <w:rPr>
          <w:rFonts w:ascii="Arial" w:hAnsi="Arial" w:cs="Arial"/>
          <w:color w:val="000000" w:themeColor="text1"/>
          <w:lang w:val="en-US"/>
        </w:rPr>
        <w:fldChar w:fldCharType="begin" w:fldLock="1"/>
      </w:r>
      <w:r w:rsidRPr="00EB1214">
        <w:rPr>
          <w:rFonts w:ascii="Arial" w:hAnsi="Arial" w:cs="Arial"/>
          <w:color w:val="000000" w:themeColor="text1"/>
          <w:lang w:val="en-US"/>
        </w:rPr>
        <w:instrText>ADDIN CSL_CITATION {"citationItems":[{"id":"ITEM-1","itemData":{"ISBN":"9789604743803","author":[{"dropping-particle":"","family":"Taherdoost","given":"Hamed","non-dropping-particle":"","parse-names":false,"suffix":""},{"dropping-particle":"","family":"Sahibuddin","given":"Shamsul","non-dropping-particle":"","parse-names":false,"suffix":""},{"dropping-particle":"","family":"Jalaliyoon","given":"Neda","non-dropping-particle":"","parse-names":false,"suffix":""}],"container-title":"Advances in Applied and Pure Mathematics","id":"ITEM-1","issued":{"date-parts":[["2022"]]},"page":"375-382","title":"Exploratory Factor Analysis ; Concepts and Theory 2 Factor Analysis 3 Types of Factor Analysis 4 Exploratory Factor Analyses","type":"article-journal"},"uris":["http://www.mendeley.com/documents/?uuid=0e4defe0-4584-46be-84d2-ca0f229211e5","http://www.mendeley.com/documents/?uuid=b8aec306-c85a-43ec-9d7b-de73351d0782","http://www.mendeley.com/documents/?uuid=471934fa-0b2b-4bbb-9246-126ed5c9c16b"]}],"mendeley":{"formattedCitation":"(Taherdoost et al., 2022)","plainTextFormattedCitation":"(Taherdoost et al., 2022)","previouslyFormattedCitation":"(Taherdoost et al., 2022)"},"properties":{"noteIndex":0},"schema":"https://github.com/citation-style-language/schema/raw/master/csl-citation.json"}</w:instrText>
      </w:r>
      <w:r w:rsidRPr="00EB1214">
        <w:rPr>
          <w:rFonts w:ascii="Arial" w:hAnsi="Arial" w:cs="Arial"/>
          <w:color w:val="000000" w:themeColor="text1"/>
          <w:lang w:val="en-US"/>
        </w:rPr>
        <w:fldChar w:fldCharType="separate"/>
      </w:r>
      <w:r w:rsidRPr="00EB1214">
        <w:rPr>
          <w:rFonts w:ascii="Arial" w:hAnsi="Arial" w:cs="Arial"/>
          <w:noProof/>
          <w:color w:val="000000" w:themeColor="text1"/>
          <w:lang w:val="en-US"/>
        </w:rPr>
        <w:t>(Taherdoost et al., 2022)</w:t>
      </w:r>
      <w:r w:rsidRPr="00EB1214">
        <w:rPr>
          <w:rFonts w:ascii="Arial" w:hAnsi="Arial" w:cs="Arial"/>
          <w:color w:val="000000" w:themeColor="text1"/>
          <w:lang w:val="en-US"/>
        </w:rPr>
        <w:fldChar w:fldCharType="end"/>
      </w:r>
      <w:r w:rsidRPr="00EB1214">
        <w:rPr>
          <w:rFonts w:ascii="Arial" w:hAnsi="Arial" w:cs="Arial"/>
          <w:color w:val="000000" w:themeColor="text1"/>
          <w:lang w:val="en-US"/>
        </w:rPr>
        <w:t xml:space="preserve">. Factor analysis determines the relationship between many variables by defining a collection of related variables or factors </w:t>
      </w:r>
      <w:r w:rsidRPr="00EB1214">
        <w:rPr>
          <w:rFonts w:ascii="Arial" w:hAnsi="Arial" w:cs="Arial"/>
          <w:color w:val="000000" w:themeColor="text1"/>
          <w:lang w:val="en-US"/>
        </w:rPr>
        <w:fldChar w:fldCharType="begin" w:fldLock="1"/>
      </w:r>
      <w:r w:rsidRPr="00EB1214">
        <w:rPr>
          <w:rFonts w:ascii="Arial" w:hAnsi="Arial" w:cs="Arial"/>
          <w:color w:val="000000" w:themeColor="text1"/>
          <w:lang w:val="en-US"/>
        </w:rPr>
        <w:instrText>ADDIN CSL_CITATION {"citationItems":[{"id":"ITEM-1","itemData":{"author":[{"dropping-particle":"","family":"Hair Jr","given":"Joseph","non-dropping-particle":"","parse-names":false,"suffix":""},{"dropping-particle":"","family":"Black","given":"William C.","non-dropping-particle":"","parse-names":false,"suffix":""},{"dropping-particle":"","family":"Babin","given":"Barry J.","non-dropping-particle":"","parse-names":false,"suffix":""},{"dropping-particle":"","family":"Anderson","given":"Rolph E.","non-dropping-particle":"","parse-names":false,"suffix":""}],"edition":"7","id":"ITEM-1","issued":{"date-parts":[["2010"]]},"publisher":"Pearson Education","publisher-place":"New York","title":"Multivariate Data Analysis","type":"book"},"uris":["http://www.mendeley.com/documents/?uuid=64bd33f0-0df6-499f-abe7-52d8787ad96e","http://www.mendeley.com/documents/?uuid=02e3bdea-0321-4f92-8d22-c767f96af4d9"]}],"mendeley":{"formattedCitation":"(Hair Jr et al., 2010)","plainTextFormattedCitation":"(Hair Jr et al., 2010)","previouslyFormattedCitation":"(Hair Jr et al., 2010)"},"properties":{"noteIndex":0},"schema":"https://github.com/citation-style-language/schema/raw/master/csl-citation.json"}</w:instrText>
      </w:r>
      <w:r w:rsidRPr="00EB1214">
        <w:rPr>
          <w:rFonts w:ascii="Arial" w:hAnsi="Arial" w:cs="Arial"/>
          <w:color w:val="000000" w:themeColor="text1"/>
          <w:lang w:val="en-US"/>
        </w:rPr>
        <w:fldChar w:fldCharType="separate"/>
      </w:r>
      <w:r w:rsidRPr="00EB1214">
        <w:rPr>
          <w:rFonts w:ascii="Arial" w:hAnsi="Arial" w:cs="Arial"/>
          <w:noProof/>
          <w:color w:val="000000" w:themeColor="text1"/>
          <w:lang w:val="en-US"/>
        </w:rPr>
        <w:t>(Hair Jr et al., 2010)</w:t>
      </w:r>
      <w:r w:rsidRPr="00EB1214">
        <w:rPr>
          <w:rFonts w:ascii="Arial" w:hAnsi="Arial" w:cs="Arial"/>
          <w:color w:val="000000" w:themeColor="text1"/>
          <w:lang w:val="en-US"/>
        </w:rPr>
        <w:fldChar w:fldCharType="end"/>
      </w:r>
      <w:r w:rsidRPr="00EB1214">
        <w:rPr>
          <w:rFonts w:ascii="Arial" w:hAnsi="Arial" w:cs="Arial"/>
          <w:color w:val="000000" w:themeColor="text1"/>
          <w:lang w:val="en-US"/>
        </w:rPr>
        <w:t>.</w:t>
      </w:r>
    </w:p>
    <w:p w14:paraId="2C30A60A" w14:textId="77777777" w:rsidR="00EB1214" w:rsidRPr="00EB1214" w:rsidRDefault="00EB1214" w:rsidP="00EB1214">
      <w:pPr>
        <w:ind w:firstLine="720"/>
        <w:contextualSpacing/>
        <w:jc w:val="both"/>
        <w:rPr>
          <w:rFonts w:ascii="Arial" w:hAnsi="Arial" w:cs="Arial"/>
          <w:color w:val="000000" w:themeColor="text1"/>
          <w:lang w:val="en-US"/>
        </w:rPr>
      </w:pPr>
      <w:r w:rsidRPr="00EB1214">
        <w:rPr>
          <w:rFonts w:ascii="Arial" w:hAnsi="Arial" w:cs="Arial"/>
          <w:color w:val="000000" w:themeColor="text1"/>
          <w:lang w:val="en-US"/>
        </w:rPr>
        <w:t xml:space="preserve">Choosing the right e-marketplace for sellers can influence sales profits </w:t>
      </w:r>
      <w:r w:rsidRPr="00EB1214">
        <w:rPr>
          <w:rFonts w:ascii="Arial" w:hAnsi="Arial" w:cs="Arial"/>
          <w:color w:val="000000" w:themeColor="text1"/>
          <w:lang w:val="en-US"/>
        </w:rPr>
        <w:fldChar w:fldCharType="begin" w:fldLock="1"/>
      </w:r>
      <w:r w:rsidRPr="00EB1214">
        <w:rPr>
          <w:rFonts w:ascii="Arial" w:hAnsi="Arial" w:cs="Arial"/>
          <w:color w:val="000000" w:themeColor="text1"/>
          <w:lang w:val="en-US"/>
        </w:rPr>
        <w:instrText>ADDIN CSL_CITATION {"citationItems":[{"id":"ITEM-1","itemData":{"DOI":"10.1007/s10660-019-09348-5","ISBN":"0123456789","ISSN":"15729362","abstract":"In this study, we have examined the performance of an online seller under two distinct fulfillment modes (fulfillment by seller and fulfillment by E-marketplace) under two shipping fee policies (free shipping and flat rate shipping). We have derived closed form analytical expressions for the decision variables of the seller such as sale price, sales volume and profit under the fulfillment modes for the shipping policies under consideration. We have checked the validity of the model by considering a leading Indian E-marketplace. From the case example, we obtained the following results (1) The seller is better off when engaged in a contract with the E-marketplace for inventory storage and order fulfillment (2) The seller is gainful by adopting a free shipping policy than a flat rate shipping policy (3) The impact of referral fee variation by the E-marketplace can significantly affect the profit of the seller whereas the impact of lead time variation has minimal impact on the profit of the seller.","author":[{"dropping-particle":"","family":"Rofin","given":"T. M.","non-dropping-particle":"","parse-names":false,"suffix":""},{"dropping-particle":"","family":"Mahanty","given":"Biswajit","non-dropping-particle":"","parse-names":false,"suffix":""}],"container-title":"Electronic Commerce Research","id":"ITEM-1","issue":"2","issued":{"date-parts":[["2021"]]},"number-of-pages":"263-296","publisher":"Springer US","title":"Fulfillment mode selection for Indian online sellers under free and flat rate shipping policies","type":"book","volume":"21"},"uris":["http://www.mendeley.com/documents/?uuid=db0e6876-903c-4f93-bf21-5d15eef6a8cd","http://www.mendeley.com/documents/?uuid=3a5f283b-c28d-41e5-b992-c22233fdebea","http://www.mendeley.com/documents/?uuid=599ed391-08f4-46cc-975a-7d0b9ef368b3"]}],"mendeley":{"formattedCitation":"(Rofin &amp; Mahanty, 2021)","plainTextFormattedCitation":"(Rofin &amp; Mahanty, 2021)","previouslyFormattedCitation":"(Rofin &amp; Mahanty, 2021)"},"properties":{"noteIndex":0},"schema":"https://github.com/citation-style-language/schema/raw/master/csl-citation.json"}</w:instrText>
      </w:r>
      <w:r w:rsidRPr="00EB1214">
        <w:rPr>
          <w:rFonts w:ascii="Arial" w:hAnsi="Arial" w:cs="Arial"/>
          <w:color w:val="000000" w:themeColor="text1"/>
          <w:lang w:val="en-US"/>
        </w:rPr>
        <w:fldChar w:fldCharType="separate"/>
      </w:r>
      <w:r w:rsidRPr="00EB1214">
        <w:rPr>
          <w:rFonts w:ascii="Arial" w:hAnsi="Arial" w:cs="Arial"/>
          <w:noProof/>
          <w:color w:val="000000" w:themeColor="text1"/>
          <w:lang w:val="en-US"/>
        </w:rPr>
        <w:t>(Rofin &amp; Mahanty, 2021)</w:t>
      </w:r>
      <w:r w:rsidRPr="00EB1214">
        <w:rPr>
          <w:rFonts w:ascii="Arial" w:hAnsi="Arial" w:cs="Arial"/>
          <w:color w:val="000000" w:themeColor="text1"/>
          <w:lang w:val="en-US"/>
        </w:rPr>
        <w:fldChar w:fldCharType="end"/>
      </w:r>
      <w:r w:rsidRPr="00EB1214">
        <w:rPr>
          <w:rFonts w:ascii="Arial" w:hAnsi="Arial" w:cs="Arial"/>
          <w:color w:val="000000" w:themeColor="text1"/>
          <w:lang w:val="en-US"/>
        </w:rPr>
        <w:t xml:space="preserve">. Factor analysis is to form a model that helps sellers choose e-marketplaces to sell online. Sales and marketing through available e-marketplace platforms have several advantages, including market exposure, worldwide sales reach, and lower operational costs </w:t>
      </w:r>
      <w:r w:rsidRPr="00EB1214">
        <w:rPr>
          <w:rFonts w:ascii="Arial" w:hAnsi="Arial" w:cs="Arial"/>
          <w:color w:val="000000" w:themeColor="text1"/>
          <w:lang w:val="en-US"/>
        </w:rPr>
        <w:fldChar w:fldCharType="begin" w:fldLock="1"/>
      </w:r>
      <w:r w:rsidRPr="00EB1214">
        <w:rPr>
          <w:rFonts w:ascii="Arial" w:hAnsi="Arial" w:cs="Arial"/>
          <w:color w:val="000000" w:themeColor="text1"/>
          <w:lang w:val="en-US"/>
        </w:rPr>
        <w:instrText>ADDIN CSL_CITATION {"citationItems":[{"id":"ITEM-1","itemData":{"author":[{"dropping-particle":"","family":"Rerung","given":"R","non-dropping-particle":"","parse-names":false,"suffix":""}],"id":"ITEM-1","issued":{"date-parts":[["2018"]]},"publisher":"Deepublish","publisher-place":"Yogyakarta","title":"E-commerce","type":"book"},"uris":["http://www.mendeley.com/documents/?uuid=44b6d46f-b74f-4a42-a9de-60fc1a507a3d","http://www.mendeley.com/documents/?uuid=09a7209d-85f8-4dbe-a938-dd268058ed3c","http://www.mendeley.com/documents/?uuid=3920823c-4128-45dd-8a8c-76a5fd54c44e"]}],"mendeley":{"formattedCitation":"(Rerung, 2018)","plainTextFormattedCitation":"(Rerung, 2018)","previouslyFormattedCitation":"(Rerung, 2018)"},"properties":{"noteIndex":0},"schema":"https://github.com/citation-style-language/schema/raw/master/csl-citation.json"}</w:instrText>
      </w:r>
      <w:r w:rsidRPr="00EB1214">
        <w:rPr>
          <w:rFonts w:ascii="Arial" w:hAnsi="Arial" w:cs="Arial"/>
          <w:color w:val="000000" w:themeColor="text1"/>
          <w:lang w:val="en-US"/>
        </w:rPr>
        <w:fldChar w:fldCharType="separate"/>
      </w:r>
      <w:r w:rsidRPr="00EB1214">
        <w:rPr>
          <w:rFonts w:ascii="Arial" w:hAnsi="Arial" w:cs="Arial"/>
          <w:noProof/>
          <w:color w:val="000000" w:themeColor="text1"/>
          <w:lang w:val="en-US"/>
        </w:rPr>
        <w:t>(Rerung, 2018)</w:t>
      </w:r>
      <w:r w:rsidRPr="00EB1214">
        <w:rPr>
          <w:rFonts w:ascii="Arial" w:hAnsi="Arial" w:cs="Arial"/>
          <w:color w:val="000000" w:themeColor="text1"/>
          <w:lang w:val="en-US"/>
        </w:rPr>
        <w:fldChar w:fldCharType="end"/>
      </w:r>
      <w:r w:rsidRPr="00EB1214">
        <w:rPr>
          <w:rFonts w:ascii="Arial" w:hAnsi="Arial" w:cs="Arial"/>
          <w:color w:val="000000" w:themeColor="text1"/>
          <w:lang w:val="en-US"/>
        </w:rPr>
        <w:t xml:space="preserve">. E-marketplace platforms available in Indonesia include </w:t>
      </w:r>
      <w:proofErr w:type="spellStart"/>
      <w:r w:rsidRPr="00EB1214">
        <w:rPr>
          <w:rFonts w:ascii="Arial" w:hAnsi="Arial" w:cs="Arial"/>
          <w:color w:val="000000" w:themeColor="text1"/>
          <w:lang w:val="en-US"/>
        </w:rPr>
        <w:t>Shopee</w:t>
      </w:r>
      <w:proofErr w:type="spellEnd"/>
      <w:r w:rsidRPr="00EB1214">
        <w:rPr>
          <w:rFonts w:ascii="Arial" w:hAnsi="Arial" w:cs="Arial"/>
          <w:color w:val="000000" w:themeColor="text1"/>
          <w:lang w:val="en-US"/>
        </w:rPr>
        <w:t xml:space="preserve">, </w:t>
      </w:r>
      <w:proofErr w:type="spellStart"/>
      <w:r w:rsidRPr="00EB1214">
        <w:rPr>
          <w:rFonts w:ascii="Arial" w:hAnsi="Arial" w:cs="Arial"/>
          <w:color w:val="000000" w:themeColor="text1"/>
          <w:lang w:val="en-US"/>
        </w:rPr>
        <w:t>Tokopedia</w:t>
      </w:r>
      <w:proofErr w:type="spellEnd"/>
      <w:r w:rsidRPr="00EB1214">
        <w:rPr>
          <w:rFonts w:ascii="Arial" w:hAnsi="Arial" w:cs="Arial"/>
          <w:color w:val="000000" w:themeColor="text1"/>
          <w:lang w:val="en-US"/>
        </w:rPr>
        <w:t xml:space="preserve">, </w:t>
      </w:r>
      <w:proofErr w:type="spellStart"/>
      <w:r w:rsidRPr="00EB1214">
        <w:rPr>
          <w:rFonts w:ascii="Arial" w:hAnsi="Arial" w:cs="Arial"/>
          <w:color w:val="000000" w:themeColor="text1"/>
          <w:lang w:val="en-US"/>
        </w:rPr>
        <w:t>Blibli</w:t>
      </w:r>
      <w:proofErr w:type="spellEnd"/>
      <w:r w:rsidRPr="00EB1214">
        <w:rPr>
          <w:rFonts w:ascii="Arial" w:hAnsi="Arial" w:cs="Arial"/>
          <w:color w:val="000000" w:themeColor="text1"/>
          <w:lang w:val="en-US"/>
        </w:rPr>
        <w:t xml:space="preserve">, </w:t>
      </w:r>
      <w:proofErr w:type="spellStart"/>
      <w:r w:rsidRPr="00EB1214">
        <w:rPr>
          <w:rFonts w:ascii="Arial" w:hAnsi="Arial" w:cs="Arial"/>
          <w:color w:val="000000" w:themeColor="text1"/>
          <w:lang w:val="en-US"/>
        </w:rPr>
        <w:t>Lazada</w:t>
      </w:r>
      <w:proofErr w:type="spellEnd"/>
      <w:r w:rsidRPr="00EB1214">
        <w:rPr>
          <w:rFonts w:ascii="Arial" w:hAnsi="Arial" w:cs="Arial"/>
          <w:color w:val="000000" w:themeColor="text1"/>
          <w:lang w:val="en-US"/>
        </w:rPr>
        <w:t xml:space="preserve">, and </w:t>
      </w:r>
      <w:proofErr w:type="spellStart"/>
      <w:r w:rsidRPr="00EB1214">
        <w:rPr>
          <w:rFonts w:ascii="Arial" w:hAnsi="Arial" w:cs="Arial"/>
          <w:color w:val="000000" w:themeColor="text1"/>
          <w:lang w:val="en-US"/>
        </w:rPr>
        <w:t>Bukalapak</w:t>
      </w:r>
      <w:proofErr w:type="spellEnd"/>
      <w:r w:rsidRPr="00EB1214">
        <w:rPr>
          <w:rFonts w:ascii="Arial" w:hAnsi="Arial" w:cs="Arial"/>
          <w:color w:val="000000" w:themeColor="text1"/>
          <w:lang w:val="en-US"/>
        </w:rPr>
        <w:t xml:space="preserve">. The large number of e-marketplace options available makes sellers consider various factors when selecting an e-marketplace. Based on research </w:t>
      </w:r>
      <w:r w:rsidRPr="00EB1214">
        <w:rPr>
          <w:rFonts w:ascii="Arial" w:hAnsi="Arial" w:cs="Arial"/>
          <w:color w:val="000000" w:themeColor="text1"/>
          <w:lang w:val="en-US"/>
        </w:rPr>
        <w:fldChar w:fldCharType="begin" w:fldLock="1"/>
      </w:r>
      <w:r w:rsidRPr="00EB1214">
        <w:rPr>
          <w:rFonts w:ascii="Arial" w:hAnsi="Arial" w:cs="Arial"/>
          <w:color w:val="000000" w:themeColor="text1"/>
          <w:lang w:val="en-US"/>
        </w:rPr>
        <w:instrText>ADDIN CSL_CITATION {"citationItems":[{"id":"ITEM-1","itemData":{"DOI":"10.1080/17517575.2016.1177205","ISSN":"17517583","abstract":"Business-to-business (B2B) organisations are increasingly utilising electronic devices in their business operations in order to succeed in increasingly competitive markets. This trend is prevalent in the growing Asian markets, especially in the small and medium-sized enterprises (SMEs) sector. While prior research has focused on this issue in the context of large business-to-customer (B2C) organisations in Asia, there have hardly been any studies that have shed light on the B2B sector in the SME setting. This study aims to critically explore B2B e-marketing critical success factors (B2B-eM-CSFs) for SMEs operating in the Asian B2B marketplace. A key finding is the development of a theoretical framework for SMEs, emerging from the analysis of 406 companies from various industrial sectors. The study shows that interaction with the B2B-eM-CSFs is an important dimension and has a positive and significant impact on e-business efficiency and marketing improvements for Asian SMEs.","author":[{"dropping-particle":"","family":"Chong","given":"Woon Kian","non-dropping-particle":"","parse-names":false,"suffix":""},{"dropping-particle":"","family":"Man","given":"Ka Lok","non-dropping-particle":"","parse-names":false,"suffix":""},{"dropping-particle":"","family":"Kim","given":"Mucheol","non-dropping-particle":"","parse-names":false,"suffix":""}],"container-title":"Enterprise Information Systems","id":"ITEM-1","issue":"1","issued":{"date-parts":[["2018"]]},"page":"4-18","publisher":"Taylor &amp; Francis","title":"The impact of e-marketing orientation on performance in Asian SMEs: a B2B perspective","type":"article-journal","volume":"12"},"uris":["http://www.mendeley.com/documents/?uuid=6bd4f4d1-e972-45a4-b41f-1b0f850298c9","http://www.mendeley.com/documents/?uuid=65f435c5-0df0-45df-847b-4dc0f048a1ff"]}],"mendeley":{"formattedCitation":"(Chong et al., 2018)","plainTextFormattedCitation":"(Chong et al., 2018)","previouslyFormattedCitation":"(Chong et al., 2018)"},"properties":{"noteIndex":0},"schema":"https://github.com/citation-style-language/schema/raw/master/csl-citation.json"}</w:instrText>
      </w:r>
      <w:r w:rsidRPr="00EB1214">
        <w:rPr>
          <w:rFonts w:ascii="Arial" w:hAnsi="Arial" w:cs="Arial"/>
          <w:color w:val="000000" w:themeColor="text1"/>
          <w:lang w:val="en-US"/>
        </w:rPr>
        <w:fldChar w:fldCharType="separate"/>
      </w:r>
      <w:r w:rsidRPr="00EB1214">
        <w:rPr>
          <w:rFonts w:ascii="Arial" w:hAnsi="Arial" w:cs="Arial"/>
          <w:noProof/>
          <w:color w:val="000000" w:themeColor="text1"/>
          <w:lang w:val="en-US"/>
        </w:rPr>
        <w:t>(Chong et al., 2018)</w:t>
      </w:r>
      <w:r w:rsidRPr="00EB1214">
        <w:rPr>
          <w:rFonts w:ascii="Arial" w:hAnsi="Arial" w:cs="Arial"/>
          <w:color w:val="000000" w:themeColor="text1"/>
          <w:lang w:val="en-US"/>
        </w:rPr>
        <w:fldChar w:fldCharType="end"/>
      </w:r>
      <w:r w:rsidRPr="00EB1214">
        <w:rPr>
          <w:rFonts w:ascii="Arial" w:hAnsi="Arial" w:cs="Arial"/>
          <w:color w:val="000000" w:themeColor="text1"/>
          <w:lang w:val="en-US"/>
        </w:rPr>
        <w:t>, sellers can consider the following factors in choosing an e-marketplace: information quality, product quality, price transparency, service quality, and user-friendly platforms. Sellers need to pay attention to these factors because they are known to improve the performance of Small and Medium Enterprises that use e-marketplaces for online transactions.</w:t>
      </w:r>
    </w:p>
    <w:p w14:paraId="22618D3A" w14:textId="615E8621" w:rsidR="00C42D73" w:rsidRPr="00EB1214" w:rsidRDefault="00EB1214" w:rsidP="00EB1214">
      <w:pPr>
        <w:contextualSpacing/>
        <w:jc w:val="both"/>
        <w:rPr>
          <w:rFonts w:ascii="Arial" w:eastAsia="Arial" w:hAnsi="Arial" w:cs="Arial"/>
        </w:rPr>
      </w:pPr>
      <w:r w:rsidRPr="00EB1214">
        <w:rPr>
          <w:rFonts w:ascii="Arial" w:hAnsi="Arial" w:cs="Arial"/>
          <w:color w:val="000000" w:themeColor="text1"/>
          <w:lang w:val="en-US"/>
        </w:rPr>
        <w:t xml:space="preserve">Based on research by </w:t>
      </w:r>
      <w:r w:rsidRPr="00EB1214">
        <w:rPr>
          <w:rFonts w:ascii="Arial" w:hAnsi="Arial" w:cs="Arial"/>
          <w:noProof/>
          <w:color w:val="000000" w:themeColor="text1"/>
        </w:rPr>
        <w:fldChar w:fldCharType="begin" w:fldLock="1"/>
      </w:r>
      <w:r w:rsidRPr="00EB1214">
        <w:rPr>
          <w:rFonts w:ascii="Arial" w:hAnsi="Arial" w:cs="Arial"/>
          <w:noProof/>
          <w:color w:val="000000" w:themeColor="text1"/>
        </w:rPr>
        <w:instrText>ADDIN CSL_CITATION {"citationItems":[{"id":"ITEM-1","itemData":{"DOI":"10.5267/j.msl.2020.4.022","ISSN":"19239343","abstract":"Customer perceptions is considered to be one of the key factors determining the success of an enterprise e-commerce system. This study analyzed and pointed out the factors affecting customer perceptions for e-commerce systems in Vietnam through a combination of studies on factors affecting customer perceptions. From that, the authors also made a number of recommendations for Vietnamese enterprises in promoting customer perceptions about e-commerce systems. At the same time, the paper also proposes further research issues.","author":[{"dropping-particle":"","family":"Tran","given":"Hoai Nam","non-dropping-particle":"","parse-names":false,"suffix":""},{"dropping-particle":"","family":"Nguyen","given":"Minh Duc","non-dropping-particle":"","parse-names":false,"suffix":""}],"container-title":"Management Science Letters","id":"ITEM-1","issue":"12","issued":{"date-parts":[["2020"]]},"page":"2861-2868","title":"Customer perception toward electronic commerce systems in Vietnam","type":"article-journal","volume":"10"},"uris":["http://www.mendeley.com/documents/?uuid=9824c9b5-a19e-46f6-855d-00b180043262","http://www.mendeley.com/documents/?uuid=a006c94f-ef07-44d5-b523-b0f0f2338b84"]},{"id":"ITEM-2","itemData":{"DOI":"10.1109/ICIMCIS53775.2021.9699202","ISBN":"9781665427333","abstract":"The use of online marketplace in Indonesia is increasing. The online marketplace makes it easy for baristas and homebrewers to find and buy high-quality coffee beans. This study aims to examine the factors that influence the satisfaction of coffee beans buyers in the online marketplace in Indonesia. This study uses a quantitative approach. The researcher modifies the research model from the information system success model developed by DeLone McLean and the Technology Acceptance Model (TAM). The variables in this study consist of Information Quality, Service Quality, Virtual Community Quality, Design, Security, Trust, Perceived Usefulness, Perceived Ease of Use, Usage Behavior, User Satisfaction. The number of samples in this study was 393 online marketplace users who had purchased coffee beans. The data analysis technique is Structural Equation Modeling using AMOS. The results of this study indicate that the Usage Behavior variable has a significant effect on User Satisfaction. In addition, Information Quality and Service Quality do not affect Usage Behavior and User Satisfaction. This study also shows that Trust, Perceived Usefulness, and Perceived Ease of Use significantly influence Usage Behavior. Virtual Community Quality and Security have a significant influence on Trust. In addition, security has a substantial effect on Perceived Usefulness. Finally, Design has a substantial impact on Perceived Ease of Use.","author":[{"dropping-particle":"","family":"Sundjaja","given":"Arta Moro","non-dropping-particle":"","parse-names":false,"suffix":""},{"dropping-particle":"","family":"Shukurnianto","given":"Dadik","non-dropping-particle":"","parse-names":false,"suffix":""},{"dropping-particle":"","family":"Rulvi","given":"Ary Putra","non-dropping-particle":"","parse-names":false,"suffix":""},{"dropping-particle":"","family":"Putra","given":"Raditya Hardianto","non-dropping-particle":"","parse-names":false,"suffix":""}],"container-title":"Proceedings - 3rd International Conference on Informatics, Multimedia, Cyber, and Information System, ICIMCIS 2021","id":"ITEM-2","issued":{"date-parts":[["2021"]]},"page":"155-161","publisher":"IEEE","title":"Factors Affecting Buyer Satisfaction of Coffee Beans at the Online Marketplace in Indonesia","type":"article-journal"},"uris":["http://www.mendeley.com/documents/?uuid=c5c57bf6-62d5-461d-a71f-ffc8a422bfab","http://www.mendeley.com/documents/?uuid=4ef758c6-2b2e-49f7-b353-ccc6ba3d1891"]},{"id":"ITEM-3","itemData":{"DOI":"10.1109/ICET51153.2020.9276594","ISBN":"9781728190075","abstract":"The purpose of this research is to analyze the acceptance of e-marketplace technology in SMEs using the Technology Acceptance Model (TAM). Specifically, this research examines the effect of perceived usefulness (PU), behavioral intention to use (BIU), perceived ease of use (PEOU), actual technology use (ATU), and behavioral intention to use (BIU). This research used a verification method with quantitative research and collected data by distributing online questionnaires to 297 SMEs owners who learned e-marketplace and use technology in their business. Then the data were analyzed by using path analysis to test the direct and indirect effects of each variable. The findings of this study are PU to BIU is more dominant than PEOU, PEOU to ATU is more dominant than PU to ATU, BIU is more able to mediate PU to ATU which means that BIU is needed to bridge PU to ATU.","author":[{"dropping-particle":"","family":"Andarwati","given":"Mardiana","non-dropping-particle":"","parse-names":false,"suffix":""},{"dropping-particle":"","family":"Assih","given":"Prihat","non-dropping-particle":"","parse-names":false,"suffix":""},{"dropping-particle":"","family":"Amrullah","given":"Fikri","non-dropping-particle":"","parse-names":false,"suffix":""},{"dropping-particle":"","family":"Putri","given":"Devita Maulina","non-dropping-particle":"","parse-names":false,"suffix":""},{"dropping-particle":"","family":"Thamrin","given":"Elfirahmi","non-dropping-particle":"","parse-names":false,"suffix":""}],"container-title":"Proceedings - 2020 6th International Conference on Education and Technology, ICET 2020","id":"ITEM-3","issued":{"date-parts":[["2020"]]},"page":"142-147","title":"Success of Small and Medium Enterprices (SMEs): Actual Technology Use in e-Marketplace Based on Technology Acceptance Model (TAM) Analysis","type":"article-journal"},"uris":["http://www.mendeley.com/documents/?uuid=dd54fcf6-dcaa-439c-92a1-113082ecd69f","http://www.mendeley.com/documents/?uuid=f12a3c6e-4007-492b-a43e-17bc358982fe"]}],"mendeley":{"formattedCitation":"(Andarwati et al., 2020; Sundjaja et al., 2021; Tran &amp; Nguyen, 2020)","plainTextFormattedCitation":"(Andarwati et al., 2020; Sundjaja et al., 2021; Tran &amp; Nguyen, 2020)","previouslyFormattedCitation":"(Andarwati et al., 2020; Sundjaja et al., 2021; Tran &amp; Nguyen, 2020)"},"properties":{"noteIndex":0},"schema":"https://github.com/citation-style-language/schema/raw/master/csl-citation.json"}</w:instrText>
      </w:r>
      <w:r w:rsidRPr="00EB1214">
        <w:rPr>
          <w:rFonts w:ascii="Arial" w:hAnsi="Arial" w:cs="Arial"/>
          <w:noProof/>
          <w:color w:val="000000" w:themeColor="text1"/>
        </w:rPr>
        <w:fldChar w:fldCharType="separate"/>
      </w:r>
      <w:r w:rsidRPr="00EB1214">
        <w:rPr>
          <w:rFonts w:ascii="Arial" w:hAnsi="Arial" w:cs="Arial"/>
          <w:noProof/>
          <w:color w:val="000000" w:themeColor="text1"/>
        </w:rPr>
        <w:t>(Andarwati et al., 2020; Sundjaja et al., 2021; Tran &amp; Nguyen, 2020)</w:t>
      </w:r>
      <w:r w:rsidRPr="00EB1214">
        <w:rPr>
          <w:rFonts w:ascii="Arial" w:hAnsi="Arial" w:cs="Arial"/>
          <w:noProof/>
          <w:color w:val="000000" w:themeColor="text1"/>
        </w:rPr>
        <w:fldChar w:fldCharType="end"/>
      </w:r>
      <w:r w:rsidRPr="00EB1214">
        <w:rPr>
          <w:rFonts w:ascii="Arial" w:hAnsi="Arial" w:cs="Arial"/>
          <w:noProof/>
          <w:color w:val="000000" w:themeColor="text1"/>
        </w:rPr>
        <w:t xml:space="preserve"> sellers choose e-marketplaces to market their products because of the ease of use</w:t>
      </w:r>
      <w:r w:rsidRPr="00EB1214">
        <w:rPr>
          <w:rFonts w:ascii="Arial" w:hAnsi="Arial" w:cs="Arial"/>
          <w:color w:val="000000" w:themeColor="text1"/>
          <w:lang w:val="en-US"/>
        </w:rPr>
        <w:t xml:space="preserve">, then based on the research </w:t>
      </w:r>
      <w:r w:rsidRPr="00EB1214">
        <w:rPr>
          <w:rFonts w:ascii="Arial" w:hAnsi="Arial" w:cs="Arial"/>
          <w:noProof/>
          <w:color w:val="000000" w:themeColor="text1"/>
        </w:rPr>
        <w:fldChar w:fldCharType="begin" w:fldLock="1"/>
      </w:r>
      <w:r w:rsidRPr="00EB1214">
        <w:rPr>
          <w:rFonts w:ascii="Arial" w:hAnsi="Arial" w:cs="Arial"/>
          <w:noProof/>
          <w:color w:val="000000" w:themeColor="text1"/>
        </w:rPr>
        <w:instrText>ADDIN CSL_CITATION {"citationItems":[{"id":"ITEM-1","itemData":{"abstract":"… million out of 59 million or 16.27 percent Micro Small and Medium Enterprises (MSMEs) who utilized the features of the e-marketplace for their businesses (CNN Indonesia, 2019). It can …","author":[{"dropping-particle":"","family":"Hatammimi","given":"J","non-dropping-particle":"","parse-names":false,"suffix":""},{"dropping-particle":"","family":"Purnama","given":"S D","non-dropping-particle":"","parse-names":false,"suffix":""}],"container-title":"… Journal of Research in Business and …","id":"ITEM-1","issue":"1","issued":{"date-parts":[["2022"]]},"page":"1-11","title":"Factors affecting prospective entrepreneurs to utilize e-marketplace: A study of business school students in Indonesia","type":"article-journal","volume":"11"},"uris":["http://www.mendeley.com/documents/?uuid=82662f26-668a-4fb6-9b8b-83414fdf271f","http://www.mendeley.com/documents/?uuid=66de70d9-97f9-4eb4-b003-9c1a16d7b92a"]},{"id":"ITEM-2","itemData":{"DOI":"10.1051/shsconf/20196504016","ISBN":"2019650401","abstract":"The article discusses the theoretical foundations of the development of global e-commerce in the processes of globalization. The analysis of the definition of the concept of e-commerce, identified its varieties. The authors investigated the main trends that have developed in the e-commerce market, and provide statistical indicators. In addition, the factors that influence the process of development and distribution of e-commerce in the world are identified. Also highlighted the main problems that do not allow the process of distribution of e-commerce technology to develop the maximum rate.","author":[{"dropping-particle":"","family":"Babenko","given":"Vitalina","non-dropping-particle":"","parse-names":false,"suffix":""},{"dropping-particle":"","family":"Kulczyk","given":"Zdzisław","non-dropping-particle":"","parse-names":false,"suffix":""},{"dropping-particle":"","family":"Perevosova","given":"Irina","non-dropping-particle":"","parse-names":false,"suffix":""},{"dropping-particle":"","family":"Syniavska","given":"Olga","non-dropping-particle":"","parse-names":false,"suffix":""},{"dropping-particle":"","family":"Davydova","given":"Oksana","non-dropping-particle":"","parse-names":false,"suffix":""}],"container-title":"SHS Web of Conferences","id":"ITEM-2","issued":{"date-parts":[["2019"]]},"page":"04016","title":"Factors of the development of international e-commerce under the conditions of globalization","type":"article-journal","volume":"65"},"uris":["http://www.mendeley.com/documents/?uuid=85a5e70f-3d05-4189-9ce2-93e30c674b6d","http://www.mendeley.com/documents/?uuid=fffb2122-3cd3-44bd-80fe-1b6a335ba959"]},{"id":"ITEM-3","itemData":{"DOI":"10.1016/j.csi.2020.103422","ISSN":"09205489","abstract":"Electronic commerce and online marketplaces have rapidly become critical transaction channels. Many studies of online marketing have focused on the purchasing behaviors of general buyers. However, many business to business (B2B) e-marketplaces allow professional procurement personnel from various businesses to electronically search for and purchase commodities; this facilitates price referencing and helps procurement personnel complete the tasks associated with direct purchasing functionalities. Despite this trend, few studies have examined the purchasing behavior of procurement personnel in B2B e-marketplaces. To fill this research gap, this study examines the relationships between trust in intermediaries and sellers; trust in commodity information; and the online purchase intentions of the procurement personnel in B2B e-marketplaces. This study also investigates the mediating effect of perceived value on the relationship between trust in commodity information and online purchase intention. The results indicate that the relationship between trust in commodity information and online purchase is mediated by perceived value. In addition, both intermediary trust and seller trust positively and significantly influence trust in commodity information, and intermediary trust positively influences seller trust. This finding is a valuable reference for professionals working in B2B e-marketplaces.","author":[{"dropping-particle":"","family":"Chang","given":"Yin Yih","non-dropping-particle":"","parse-names":false,"suffix":""},{"dropping-particle":"","family":"Lin","given":"Shu Chiung","non-dropping-particle":"","parse-names":false,"suffix":""},{"dropping-particle":"","family":"Yen","given":"David C.","non-dropping-particle":"","parse-names":false,"suffix":""},{"dropping-particle":"","family":"Hung","given":"Jen Wei","non-dropping-particle":"","parse-names":false,"suffix":""}],"container-title":"Computer Standards and Interfaces","id":"ITEM-3","issue":"February","issued":{"date-parts":[["2020"]]},"page":"103422","publisher":"Elsevier","title":"The trust model of enterprise purchasing for B2B e-marketplaces","type":"article-journal","volume":"70"},"uris":["http://www.mendeley.com/documents/?uuid=4bcdea18-4179-4448-a955-4a67b8f5cd47","http://www.mendeley.com/documents/?uuid=413c980d-8a75-42e2-a2f5-d70724534d82"]},{"id":"ITEM-4","itemData":{"DOI":"10.21315/aamj2019.24.s2.7","ISSN":"21804184","abstract":"E-commerce has grown rapidly over the past decade and has become a significant trend. One of the major concerns for the successful proliferation of e-commerce is the issue of consumers’ trust in Internet vendors. This study examines the antecedents of trust in e-commerce among Malaysian online consumers. Data was collected from 300 respondents who had recently made online purchases. Structural equation modelling-partial least squares (SEM-PLS) was used to analyse the data, and our findings reveal that brand recognition, service quality, security, and word-of-mouth (WOM) lead to higher levels of consumer trust, whereas customer satisfaction has an insignificant relation to consumer trust. This study enables online vendors or e-commerce business owners to understand consumer demand and satisfy their needs. Strategies need to be set right too to attract more consumers in purchasing online.","author":[{"dropping-particle":"","family":"Falahat","given":"Mohammad","non-dropping-particle":"","parse-names":false,"suffix":""},{"dropping-particle":"","family":"Lee","given":"Yan Yin","non-dropping-particle":"","parse-names":false,"suffix":""},{"dropping-particle":"","family":"Foo","given":"Yi Cheng","non-dropping-particle":"","parse-names":false,"suffix":""},{"dropping-particle":"","family":"Chia","given":"Chee En","non-dropping-particle":"","parse-names":false,"suffix":""}],"container-title":"Asian Academy of Management Journal","id":"ITEM-4","issued":{"date-parts":[["2019"]]},"page":"93-109","title":"A model for consumer trust in E-commerce","type":"article-journal","volume":"24"},"uris":["http://www.mendeley.com/documents/?uuid=a9fca7b1-29c9-465c-8526-20a667d20a29","http://www.mendeley.com/documents/?uuid=d7c2f0d3-aa28-4d63-a24a-cf47d1c112f7"]},{"id":"ITEM-5","itemData":{"DOI":"10.1016/j.tele.2018.01.010","ISSN":"07365853","abstract":"Given the enormous growth and significant impact of group buying on the Internet business marketplace, understanding factors motivating consumer online group buying (OGB) behavior becomes critical for both researchers and practitioners. However, prior studies have provided insufficient understanding of the motivations underlying consumer OGB. This study intends to explore the factors motivating consumer OGB using a qualitative approach based on Uses and Gratifications (U&amp;G) theory, and to build a hierarchical model based on these motivations. The laddering interview technique was used to collect data from 58 online group buyers. A context-specific hierarchical motive model was developed using Interpretive Structural Modeling (ISM), based on the 17 motivations identified. As a timely topic using a novel approach to explore consumer OGB motivations, this study contributes to motivation theory and helps practitioners involved in OGB businesses to better plan and design strategies to attract potential new consumers and retain their current consumers.","author":[{"dropping-particle":"","family":"Xiao","given":"Lin","non-dropping-particle":"","parse-names":false,"suffix":""}],"container-title":"Telematics and Informatics","id":"ITEM-5","issue":"4","issued":{"date-parts":[["2018"]]},"page":"629-642","publisher":"Elsevier","title":"Analyzing consumer online group buying motivations: An interpretive structural modeling approach","type":"article-journal","volume":"35"},"uris":["http://www.mendeley.com/documents/?uuid=614b443c-8ee4-4433-983a-7a62d30dea96","http://www.mendeley.com/documents/?uuid=acf4c613-f73b-429b-b72f-75143f7e6416"]},{"id":"ITEM-6","itemData":{"DOI":"10.1109/ICIMTech.2018.8528189","ISBN":"9781538658215","abstract":"Globally, internet users and mobile phone are increasing significantly all the time. One of the impacts from the growth of it, there is the revolution in a traditional market. Nowadays, people tend to buy something through an online channel or electronic marketplace (e-marketplace). This study aims to obtain literature of key success factors of e-marketplace implementation. It uses Preferred Reporting Items for Systematic Reviews and Meta-Analyses (PRISMA) guidelines to articles published in 2005-2018. A total of 231 articles obtain from considerable databases for instance: IEEE Explore, ACM Digital Library, Science Direct and etc. Furthermore, it validates and examines in order to obtain 37 articles which can be used as the main study. As the result, it finds 11 key success factors for e-marketplace as follows: Trust, technical, platform, platform owner, product, service operation, seller, marketing and sales, payment channel, buyer, and environmental.","author":[{"dropping-particle":"","family":"Prihastomo","given":"Yoga","non-dropping-particle":"","parse-names":false,"suffix":""},{"dropping-particle":"","family":"Meyliana","given":"","non-dropping-particle":"","parse-names":false,"suffix":""},{"dropping-particle":"","family":"Hidayanto","given":"Achmad Nizar","non-dropping-particle":"","parse-names":false,"suffix":""},{"dropping-particle":"","family":"Prabowo","given":"Harjanto","non-dropping-particle":"","parse-names":false,"suffix":""}],"container-title":"Proceedings of 2018 International Conference on Information Management and Technology, ICIMTech 2018","id":"ITEM-6","issue":"September","issued":{"date-parts":[["2018"]]},"page":"443-448","publisher":"IEEE","title":"The Key Success Factors in E-Marketplace Implementation: A Systematic Literature Review","type":"article-journal"},"uris":["http://www.mendeley.com/documents/?uuid=dfed443e-a49f-4cca-9eb6-684523cd0bb5","http://www.mendeley.com/documents/?uuid=84af2383-651c-406c-9edf-b0961ffb0ac1"]}],"mendeley":{"formattedCitation":"(Babenko et al., 2019; Chang et al., 2020; Falahat et al., 2019; Hatammimi &amp; Purnama, 2022; Prihastomo et al., 2018; Xiao, 2018)","plainTextFormattedCitation":"(Babenko et al., 2019; Chang et al., 2020; Falahat et al., 2019; Hatammimi &amp; Purnama, 2022; Prihastomo et al., 2018; Xiao, 2018)","previouslyFormattedCitation":"(Babenko et al., 2019; Chang et al., 2020; Falahat et al., 2019; Hatammimi &amp; Purnama, 2022; Prihastomo et al., 2018; Xiao, 2018)"},"properties":{"noteIndex":0},"schema":"https://github.com/citation-style-language/schema/raw/master/csl-citation.json"}</w:instrText>
      </w:r>
      <w:r w:rsidRPr="00EB1214">
        <w:rPr>
          <w:rFonts w:ascii="Arial" w:hAnsi="Arial" w:cs="Arial"/>
          <w:noProof/>
          <w:color w:val="000000" w:themeColor="text1"/>
        </w:rPr>
        <w:fldChar w:fldCharType="separate"/>
      </w:r>
      <w:r w:rsidRPr="00EB1214">
        <w:rPr>
          <w:rFonts w:ascii="Arial" w:hAnsi="Arial" w:cs="Arial"/>
          <w:noProof/>
          <w:color w:val="000000" w:themeColor="text1"/>
        </w:rPr>
        <w:t>(Babenko et al., 2019; Chang et al., 2020; Falahat et al., 2019; Hatammimi &amp; Purnama, 2022; Prihastomo et al., 2018; Xiao, 2018)</w:t>
      </w:r>
      <w:r w:rsidRPr="00EB1214">
        <w:rPr>
          <w:rFonts w:ascii="Arial" w:hAnsi="Arial" w:cs="Arial"/>
          <w:noProof/>
          <w:color w:val="000000" w:themeColor="text1"/>
        </w:rPr>
        <w:fldChar w:fldCharType="end"/>
      </w:r>
      <w:r w:rsidRPr="00EB1214">
        <w:rPr>
          <w:rFonts w:ascii="Arial" w:hAnsi="Arial" w:cs="Arial"/>
          <w:noProof/>
          <w:color w:val="000000" w:themeColor="text1"/>
        </w:rPr>
        <w:t xml:space="preserve"> Trust is one of the reasons sellers choose e-marketplaces to sell online. Research conducted by </w:t>
      </w:r>
      <w:r w:rsidRPr="00EB1214">
        <w:rPr>
          <w:rFonts w:ascii="Arial" w:hAnsi="Arial" w:cs="Arial"/>
          <w:noProof/>
          <w:color w:val="000000" w:themeColor="text1"/>
        </w:rPr>
        <w:fldChar w:fldCharType="begin" w:fldLock="1"/>
      </w:r>
      <w:r w:rsidRPr="00EB1214">
        <w:rPr>
          <w:rFonts w:ascii="Arial" w:hAnsi="Arial" w:cs="Arial"/>
          <w:noProof/>
          <w:color w:val="000000" w:themeColor="text1"/>
        </w:rPr>
        <w:instrText>ADDIN CSL_CITATION {"citationItems":[{"id":"ITEM-1","itemData":{"abstract":"… million out of 59 million or 16.27 percent Micro Small and Medium Enterprises (MSMEs) who utilized the features of the e-marketplace for their businesses (CNN Indonesia, 2019). It can …","author":[{"dropping-particle":"","family":"Hatammimi","given":"J","non-dropping-particle":"","parse-names":false,"suffix":""},{"dropping-particle":"","family":"Purnama","given":"S D","non-dropping-particle":"","parse-names":false,"suffix":""}],"container-title":"… Journal of Research in Business and …","id":"ITEM-1","issue":"1","issued":{"date-parts":[["2022"]]},"page":"1-11","title":"Factors affecting prospective entrepreneurs to utilize e-marketplace: A study of business school students in Indonesia","type":"article-journal","volume":"11"},"uris":["http://www.mendeley.com/documents/?uuid=66de70d9-97f9-4eb4-b003-9c1a16d7b92a","http://www.mendeley.com/documents/?uuid=82662f26-668a-4fb6-9b8b-83414fdf271f"]},{"id":"ITEM-2","itemData":{"DOI":"10.1051/shsconf/20196504016","ISBN":"2019650401","abstract":"The article discusses the theoretical foundations of the development of global e-commerce in the processes of globalization. The analysis of the definition of the concept of e-commerce, identified its varieties. The authors investigated the main trends that have developed in the e-commerce market, and provide statistical indicators. In addition, the factors that influence the process of development and distribution of e-commerce in the world are identified. Also highlighted the main problems that do not allow the process of distribution of e-commerce technology to develop the maximum rate.","author":[{"dropping-particle":"","family":"Babenko","given":"Vitalina","non-dropping-particle":"","parse-names":false,"suffix":""},{"dropping-particle":"","family":"Kulczyk","given":"Zdzisław","non-dropping-particle":"","parse-names":false,"suffix":""},{"dropping-particle":"","family":"Perevosova","given":"Irina","non-dropping-particle":"","parse-names":false,"suffix":""},{"dropping-particle":"","family":"Syniavska","given":"Olga","non-dropping-particle":"","parse-names":false,"suffix":""},{"dropping-particle":"","family":"Davydova","given":"Oksana","non-dropping-particle":"","parse-names":false,"suffix":""}],"container-title":"SHS Web of Conferences","id":"ITEM-2","issued":{"date-parts":[["2019"]]},"page":"04016","title":"Factors of the development of international e-commerce under the conditions of globalization","type":"article-journal","volume":"65"},"uris":["http://www.mendeley.com/documents/?uuid=fffb2122-3cd3-44bd-80fe-1b6a335ba959","http://www.mendeley.com/documents/?uuid=85a5e70f-3d05-4189-9ce2-93e30c674b6d","http://www.mendeley.com/documents/?uuid=2e669bd9-d43c-407f-b4f2-7f2c54ca43b2"]},{"id":"ITEM-3","itemData":{"DOI":"10.1080/17517575.2016.1177205","ISSN":"17517583","abstract":"Business-to-business (B2B) organisations are increasingly utilising electronic devices in their business operations in order to succeed in increasingly competitive markets. This trend is prevalent in the growing Asian markets, especially in the small and medium-sized enterprises (SMEs) sector. While prior research has focused on this issue in the context of large business-to-customer (B2C) organisations in Asia, there have hardly been any studies that have shed light on the B2B sector in the SME setting. This study aims to critically explore B2B e-marketing critical success factors (B2B-eM-CSFs) for SMEs operating in the Asian B2B marketplace. A key finding is the development of a theoretical framework for SMEs, emerging from the analysis of 406 companies from various industrial sectors. The study shows that interaction with the B2B-eM-CSFs is an important dimension and has a positive and significant impact on e-business efficiency and marketing improvements for Asian SMEs.","author":[{"dropping-particle":"","family":"Chong","given":"Woon Kian","non-dropping-particle":"","parse-names":false,"suffix":""},{"dropping-particle":"","family":"Man","given":"Ka Lok","non-dropping-particle":"","parse-names":false,"suffix":""},{"dropping-particle":"","family":"Kim","given":"Mucheol","non-dropping-particle":"","parse-names":false,"suffix":""}],"container-title":"Enterprise Information Systems","id":"ITEM-3","issue":"1","issued":{"date-parts":[["2018"]]},"page":"4-18","publisher":"Taylor &amp; Francis","title":"The impact of e-marketing orientation on performance in Asian SMEs: a B2B perspective","type":"article-journal","volume":"12"},"uris":["http://www.mendeley.com/documents/?uuid=65f435c5-0df0-45df-847b-4dc0f048a1ff","http://www.mendeley.com/documents/?uuid=6bd4f4d1-e972-45a4-b41f-1b0f850298c9","http://www.mendeley.com/documents/?uuid=786d7a58-4166-42a2-870d-926561283074"]}],"mendeley":{"formattedCitation":"(Babenko et al., 2019; Chong et al., 2018; Hatammimi &amp; Purnama, 2022)","plainTextFormattedCitation":"(Babenko et al., 2019; Chong et al., 2018; Hatammimi &amp; Purnama, 2022)","previouslyFormattedCitation":"(Babenko et al., 2019; Chong et al., 2018; Hatammimi &amp; Purnama, 2022)"},"properties":{"noteIndex":0},"schema":"https://github.com/citation-style-language/schema/raw/master/csl-citation.json"}</w:instrText>
      </w:r>
      <w:r w:rsidRPr="00EB1214">
        <w:rPr>
          <w:rFonts w:ascii="Arial" w:hAnsi="Arial" w:cs="Arial"/>
          <w:noProof/>
          <w:color w:val="000000" w:themeColor="text1"/>
        </w:rPr>
        <w:fldChar w:fldCharType="separate"/>
      </w:r>
      <w:r w:rsidRPr="00EB1214">
        <w:rPr>
          <w:rFonts w:ascii="Arial" w:hAnsi="Arial" w:cs="Arial"/>
          <w:noProof/>
          <w:color w:val="000000" w:themeColor="text1"/>
        </w:rPr>
        <w:t>(Babenko et al., 2019; Chong et al., 2018; Hatammimi &amp; Purnama, 2022)</w:t>
      </w:r>
      <w:r w:rsidRPr="00EB1214">
        <w:rPr>
          <w:rFonts w:ascii="Arial" w:hAnsi="Arial" w:cs="Arial"/>
          <w:noProof/>
          <w:color w:val="000000" w:themeColor="text1"/>
        </w:rPr>
        <w:fldChar w:fldCharType="end"/>
      </w:r>
      <w:r w:rsidRPr="00EB1214">
        <w:rPr>
          <w:rFonts w:ascii="Arial" w:hAnsi="Arial" w:cs="Arial"/>
          <w:noProof/>
          <w:color w:val="000000" w:themeColor="text1"/>
        </w:rPr>
        <w:t xml:space="preserve"> the product to be sold is the reason for the seller to choose the e-marketplace as a place to market the product, based on the research of </w:t>
      </w:r>
      <w:r w:rsidRPr="00EB1214">
        <w:rPr>
          <w:rFonts w:ascii="Arial" w:hAnsi="Arial" w:cs="Arial"/>
          <w:noProof/>
          <w:color w:val="000000" w:themeColor="text1"/>
        </w:rPr>
        <w:fldChar w:fldCharType="begin" w:fldLock="1"/>
      </w:r>
      <w:r w:rsidRPr="00EB1214">
        <w:rPr>
          <w:rFonts w:ascii="Arial" w:hAnsi="Arial" w:cs="Arial"/>
          <w:noProof/>
          <w:color w:val="000000" w:themeColor="text1"/>
        </w:rPr>
        <w:instrText>ADDIN CSL_CITATION {"citationItems":[{"id":"ITEM-1","itemData":{"DOI":"10.7441/joc.2020.04.09","ISSN":"18041728","abstract":"In this article a total of fifteen determinants of online shopping behavior have been identified that could have an impact on the strategic management process in e-commerce competitiveness. The main objective of the paper is to evaluate the impact of determinants of online shopping behavior on the strategic management process in e-commerce. The main research methods used in the research are as follows: analysis of secondary data, a questionnaire survey among a selected group of e-commerce companies, a critical analysis and a quality comparison of the actually applied determinants of online shopping behavior. The verification of hypotheses is realized using selected methods of statistical induction and descriptive statistics. In summary, the research has shown there is no relationship between evaluating the quality of determinants companies in e-commerce and evaluating the importance of determinants of online shopping behavior. Determinants have an important impact in the process of creating and realizing an e-commerce strategy, with all e-commerce companies regardless of their size being aware of their practical impact and importance. It can be concluded the importance and quality of determinants of online shopping behavior correspond to the type of strategy and strategic management process in terms of e-commerce competitiveness.","author":[{"dropping-particle":"","family":"Svatosova","given":"Veronika","non-dropping-particle":"","parse-names":false,"suffix":""}],"container-title":"Journal of Competitiveness","id":"ITEM-1","issue":"4","issued":{"date-parts":[["2020"]]},"page":"143-160","title":"The importance of online shopping behavior in the strategic management of e-commerce competitiveness","type":"article-journal","volume":"12"},"uris":["http://www.mendeley.com/documents/?uuid=8270744f-35bd-4e6e-9acf-1be14d98566a","http://www.mendeley.com/documents/?uuid=fa553e26-8458-4c70-a682-13ff87c155ae"]},{"id":"ITEM-2","itemData":{"abstract":"With the increasing buying interest of customers towards the XYZ E-marketplace, and the rapid growth of the online to offline e-marketplace in Indonesia, companies must pay attention to Customer Relationship Management (CRM) to increase customer loyalty in XYZ E-marketplace. XYZ E-Marketplace is the first modern e-marketplace in Indonesia with high technology by using Artificial Intelligent for user experience. The purpose of this study is to identify XYZ E-marketplace customer loyalty. The research method used was a quantitative approach through a survey of 98 respondents in JABODETABEK. Data analysis techniques used two tools, namely (1) SPSS application as a measurement of data validity and reliability, and (2) using Structural Equation Model (SEM) which is assisted by Smart Partial Least Squares (SMARTPLS) applications to connect between variables of each model. This research is based on XYZ E-marketplace customer loyalty and the results can be used as a reference or learning. Based on the results of the analysis test, all variables are declared valid and reliable which means brand image, price perception, promotion programs, customer trust, and service convenience are factors that affecting to customer loyalty in the XYZ E-marketplace. Based on the test model stated that 5 hypotheses significantly affecting to XYZ E-marketplace customer loyalty","author":[{"dropping-particle":"","family":"Candraputri","given":"Agny Monica","non-dropping-particle":"","parse-names":false,"suffix":""},{"dropping-particle":"","family":"Gunawan","given":"Albert Cahyadi","non-dropping-particle":"","parse-names":false,"suffix":""},{"dropping-particle":"","family":"Abdussalam","given":"Fathan","non-dropping-particle":"","parse-names":false,"suffix":""},{"dropping-particle":"","family":"R. Kaburuan","given":"Emil","non-dropping-particle":"","parse-names":false,"suffix":""},{"dropping-particle":"","family":"Sfenrianto","given":"","non-dropping-particle":"","parse-names":false,"suffix":""},{"dropping-particle":"","family":"Wang","given":"Gunawan","non-dropping-particle":"","parse-names":false,"suffix":""}],"container-title":"International Journal of Advanced Science and Technology","id":"ITEM-2","issue":"6","issued":{"date-parts":[["2020"]]},"page":"5549-5567","title":"Analysis of Factors that are Affecting to Customer Loyalty in Online to Offline E-Commerce Case Study at XYZ E-Marketplace","type":"article-journal","volume":"29"},"uris":["http://www.mendeley.com/documents/?uuid=6779085d-c3c4-4974-aa75-c392b308e3ee","http://www.mendeley.com/documents/?uuid=2a8635fe-a0fc-44aa-aa4a-bf22275d9b9e"]},{"id":"ITEM-3","itemData":{"abstract":"… million out of 59 million or 16.27 percent Micro Small and Medium Enterprises (MSMEs) who utilized the features of the e-marketplace for their businesses (CNN Indonesia, 2019). It can …","author":[{"dropping-particle":"","family":"Hatammimi","given":"J","non-dropping-particle":"","parse-names":false,"suffix":""},{"dropping-particle":"","family":"Purnama","given":"S D","non-dropping-particle":"","parse-names":false,"suffix":""}],"container-title":"… Journal of Research in Business and …","id":"ITEM-3","issue":"1","issued":{"date-parts":[["2022"]]},"page":"1-11","title":"Factors affecting prospective entrepreneurs to utilize e-marketplace: A study of business school students in Indonesia","type":"article-journal","volume":"11"},"uris":["http://www.mendeley.com/documents/?uuid=66de70d9-97f9-4eb4-b003-9c1a16d7b92a","http://www.mendeley.com/documents/?uuid=82662f26-668a-4fb6-9b8b-83414fdf271f"]}],"mendeley":{"formattedCitation":"(Candraputri et al., 2020; Hatammimi &amp; Purnama, 2022; Svatosova, 2020)","plainTextFormattedCitation":"(Candraputri et al., 2020; Hatammimi &amp; Purnama, 2022; Svatosova, 2020)","previouslyFormattedCitation":"(Candraputri et al., 2020; Hatammimi &amp; Purnama, 2022; Svatosova, 2020)"},"properties":{"noteIndex":0},"schema":"https://github.com/citation-style-language/schema/raw/master/csl-citation.json"}</w:instrText>
      </w:r>
      <w:r w:rsidRPr="00EB1214">
        <w:rPr>
          <w:rFonts w:ascii="Arial" w:hAnsi="Arial" w:cs="Arial"/>
          <w:noProof/>
          <w:color w:val="000000" w:themeColor="text1"/>
        </w:rPr>
        <w:fldChar w:fldCharType="separate"/>
      </w:r>
      <w:r w:rsidRPr="00EB1214">
        <w:rPr>
          <w:rFonts w:ascii="Arial" w:hAnsi="Arial" w:cs="Arial"/>
          <w:noProof/>
          <w:color w:val="000000" w:themeColor="text1"/>
        </w:rPr>
        <w:t>(Candraputri et al., 2020; Hatammimi &amp; Purnama, 2022; Svatosova, 2020)</w:t>
      </w:r>
      <w:r w:rsidRPr="00EB1214">
        <w:rPr>
          <w:rFonts w:ascii="Arial" w:hAnsi="Arial" w:cs="Arial"/>
          <w:noProof/>
          <w:color w:val="000000" w:themeColor="text1"/>
        </w:rPr>
        <w:fldChar w:fldCharType="end"/>
      </w:r>
      <w:r w:rsidRPr="00EB1214">
        <w:rPr>
          <w:rFonts w:ascii="Arial" w:hAnsi="Arial" w:cs="Arial"/>
          <w:noProof/>
          <w:color w:val="000000" w:themeColor="text1"/>
        </w:rPr>
        <w:t xml:space="preserve"> The reason sellers choose e-marketplaces to sell online is the service operations provided by e-marketplaces. Based on these data, several main factors must be considered by sellers in choosing an e-marketplace to sell product online, including ease of use, trust, product, and service operations.</w:t>
      </w:r>
    </w:p>
    <w:p w14:paraId="1BDCE9F3" w14:textId="0507C42E" w:rsidR="00783E33" w:rsidRDefault="00783E33" w:rsidP="00783E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w:hAnsi="Arial" w:cs="Arial"/>
          <w:b/>
          <w:color w:val="000000"/>
          <w:sz w:val="22"/>
          <w:szCs w:val="22"/>
        </w:rPr>
      </w:pPr>
    </w:p>
    <w:p w14:paraId="15FDD555" w14:textId="2AFCC44D" w:rsidR="00783E33" w:rsidRPr="00783E33" w:rsidRDefault="00783E33" w:rsidP="00783E33">
      <w:pPr>
        <w:pStyle w:val="Heading1"/>
        <w:rPr>
          <w:rFonts w:ascii="Arial" w:eastAsia="Arial" w:hAnsi="Arial" w:cs="Arial"/>
          <w:b/>
          <w:bCs/>
          <w:color w:val="000000" w:themeColor="text1"/>
          <w:sz w:val="22"/>
          <w:szCs w:val="22"/>
        </w:rPr>
      </w:pPr>
      <w:r w:rsidRPr="00783E33">
        <w:rPr>
          <w:rFonts w:ascii="Arial" w:eastAsia="Arial" w:hAnsi="Arial" w:cs="Arial"/>
          <w:b/>
          <w:bCs/>
          <w:color w:val="000000" w:themeColor="text1"/>
          <w:sz w:val="22"/>
          <w:szCs w:val="22"/>
        </w:rPr>
        <w:t>LITERATURE REVIEW</w:t>
      </w:r>
    </w:p>
    <w:p w14:paraId="3E039364" w14:textId="2BD8D962" w:rsidR="00783E33" w:rsidRPr="00D13BEA" w:rsidRDefault="00D13BEA" w:rsidP="00D13BEA">
      <w:pPr>
        <w:pStyle w:val="Heading2"/>
        <w:rPr>
          <w:rFonts w:ascii="Arial" w:hAnsi="Arial" w:cs="Arial"/>
          <w:b/>
          <w:bCs/>
          <w:color w:val="000000" w:themeColor="text1"/>
          <w:sz w:val="22"/>
          <w:szCs w:val="22"/>
        </w:rPr>
      </w:pPr>
      <w:r w:rsidRPr="00D13BEA">
        <w:rPr>
          <w:rFonts w:ascii="Arial" w:hAnsi="Arial" w:cs="Arial"/>
          <w:b/>
          <w:bCs/>
          <w:color w:val="000000" w:themeColor="text1"/>
          <w:sz w:val="22"/>
          <w:szCs w:val="22"/>
        </w:rPr>
        <w:t>E-</w:t>
      </w:r>
      <w:r>
        <w:rPr>
          <w:rFonts w:ascii="Arial" w:hAnsi="Arial" w:cs="Arial"/>
          <w:b/>
          <w:bCs/>
          <w:color w:val="000000" w:themeColor="text1"/>
          <w:sz w:val="22"/>
          <w:szCs w:val="22"/>
        </w:rPr>
        <w:t>Marketplace</w:t>
      </w:r>
    </w:p>
    <w:p w14:paraId="2134512D" w14:textId="220136AE" w:rsidR="00D13BEA" w:rsidRPr="00D13BEA" w:rsidRDefault="00D13BEA" w:rsidP="00D13BEA">
      <w:pPr>
        <w:jc w:val="both"/>
        <w:rPr>
          <w:rFonts w:ascii="Arial" w:eastAsia="Arial" w:hAnsi="Arial" w:cs="Arial"/>
        </w:rPr>
      </w:pPr>
      <w:r w:rsidRPr="00D13BEA">
        <w:rPr>
          <w:rFonts w:ascii="Arial" w:hAnsi="Arial" w:cs="Arial"/>
        </w:rPr>
        <w:t xml:space="preserve">Very dynamic technological developments are also the main driver of increasing e-commerce potential in Indonesia. The growth of e-commerce services can significantly support the recovery of the economic sector due to the pandemic. This digital trade is also very appropriate and helpful if you look at the geographical conditions of Indonesia, which has thousands of islands and their uneven distribution. In addition, e-commerce can save promotional costs and increase transaction speed. This will help sellers start their businesses because of the high costs of promoting new stores. Through e-commerce, sellers can access a broader market so that consumers will more easily recognize their products </w:t>
      </w:r>
      <w:r w:rsidRPr="00D13BEA">
        <w:rPr>
          <w:rFonts w:ascii="Arial" w:hAnsi="Arial" w:cs="Arial"/>
        </w:rPr>
        <w:fldChar w:fldCharType="begin" w:fldLock="1"/>
      </w:r>
      <w:r w:rsidRPr="00D13BEA">
        <w:rPr>
          <w:rFonts w:ascii="Arial" w:hAnsi="Arial" w:cs="Arial"/>
        </w:rPr>
        <w:instrText>ADDIN CSL_CITATION {"citationItems":[{"id":"ITEM-1","itemData":{"DOI":"10.6007/ijarafms/v11-i1/8987","abstract":"Electronic commerce plays an essential role in advancing information technology as well as communication. This is particularly true in the realm of the economy. In the age of globalizing economics, many markets have become progressively international and competitive. Even as the covid-19 pandemic further leads industries in heavily impacted areas to insource towards local production as global trade was blocked, e-commerce can aid the economy on a local scale. Furthermore, improvements on the internet, along with advancements in information technology, and the progress in logistics and deliveries have enabled nearly every business to buy, sell and liaise on a global scale. This has led to the unexpected interest in electronic commerce in societies. However, although e-commerce has dominated the marketplace, online services and trade, bring on various benefits as well as major key drawbacks. This paper sheds light on the key features of e-commerce and the drawbacks it brings on two, the organization as well as customers. Well, understanding the benefits and drawbacks is essential as a benefit for the customer might be translated into a drawback for the business organization. Prosperous business organizations are very aware of the benefits and drawbacks before venturing into any business decision. The paper concludes, Despite the disadvantages of e-commerce, the numerous advantages of this business manage to successfully attract the attention of both companies and customers. Technology is evolving tremendously, so it is possible to witness the prevention of technological defects in particular in the near future. Keywords:","author":[{"dropping-particle":"","family":"Taher","given":"Ghada","non-dropping-particle":"","parse-names":false,"suffix":""}],"container-title":"International Journal of Academic Research in Accounting, Finance and Management Sciences","id":"ITEM-1","issue":"1","issued":{"date-parts":[["2021"]]},"page":"153-167","title":"E-Commerce: Advantages and Limitations","type":"article-journal","volume":"11"},"uris":["http://www.mendeley.com/documents/?uuid=c9491f36-9ca0-411f-a913-66f8d1f54c28","http://www.mendeley.com/documents/?uuid=2c301470-ff05-468c-b6ed-1292b47418e9","http://www.mendeley.com/documents/?uuid=d75538c7-ee3d-403e-9e39-c6b9737b21cd","http://www.mendeley.com/documents/?uuid=f0ec3d1a-4d7a-463c-a96f-74bd0d1d28a3"]}],"mendeley":{"formattedCitation":"(Taher, 2021)","plainTextFormattedCitation":"(Taher, 2021)","previouslyFormattedCitation":"(Taher, 2021)"},"properties":{"noteIndex":0},"schema":"https://github.com/citation-style-language/schema/raw/master/csl-citation.json"}</w:instrText>
      </w:r>
      <w:r w:rsidRPr="00D13BEA">
        <w:rPr>
          <w:rFonts w:ascii="Arial" w:hAnsi="Arial" w:cs="Arial"/>
        </w:rPr>
        <w:fldChar w:fldCharType="separate"/>
      </w:r>
      <w:r w:rsidRPr="00D13BEA">
        <w:rPr>
          <w:rFonts w:ascii="Arial" w:hAnsi="Arial" w:cs="Arial"/>
          <w:noProof/>
        </w:rPr>
        <w:t>(Taher, 2021)</w:t>
      </w:r>
      <w:r w:rsidRPr="00D13BEA">
        <w:rPr>
          <w:rFonts w:ascii="Arial" w:hAnsi="Arial" w:cs="Arial"/>
        </w:rPr>
        <w:fldChar w:fldCharType="end"/>
      </w:r>
      <w:r w:rsidRPr="00D13BEA">
        <w:rPr>
          <w:rFonts w:ascii="Arial" w:hAnsi="Arial" w:cs="Arial"/>
        </w:rPr>
        <w:t>.</w:t>
      </w:r>
    </w:p>
    <w:p w14:paraId="0FA0564A" w14:textId="39183DB3" w:rsidR="00D13BEA" w:rsidRDefault="00D13BEA" w:rsidP="00D13BEA">
      <w:pPr>
        <w:pStyle w:val="Heading2"/>
        <w:rPr>
          <w:rFonts w:ascii="Arial" w:eastAsia="Arial" w:hAnsi="Arial" w:cs="Arial"/>
          <w:b/>
          <w:bCs/>
          <w:color w:val="000000" w:themeColor="text1"/>
          <w:sz w:val="22"/>
          <w:szCs w:val="22"/>
        </w:rPr>
      </w:pPr>
      <w:r w:rsidRPr="00D13BEA">
        <w:rPr>
          <w:rFonts w:ascii="Arial" w:eastAsia="Arial" w:hAnsi="Arial" w:cs="Arial"/>
          <w:b/>
          <w:bCs/>
          <w:color w:val="000000" w:themeColor="text1"/>
          <w:sz w:val="22"/>
          <w:szCs w:val="22"/>
        </w:rPr>
        <w:t>Se</w:t>
      </w:r>
      <w:r>
        <w:rPr>
          <w:rFonts w:ascii="Arial" w:eastAsia="Arial" w:hAnsi="Arial" w:cs="Arial"/>
          <w:b/>
          <w:bCs/>
          <w:color w:val="000000" w:themeColor="text1"/>
          <w:sz w:val="22"/>
          <w:szCs w:val="22"/>
        </w:rPr>
        <w:t>lection of E-Marketplace</w:t>
      </w:r>
    </w:p>
    <w:p w14:paraId="09019C46" w14:textId="07881231" w:rsidR="00D13BEA" w:rsidRDefault="00D13BEA" w:rsidP="00D13BEA">
      <w:pPr>
        <w:jc w:val="both"/>
      </w:pPr>
      <w:bookmarkStart w:id="0" w:name="_Toc132794588"/>
      <w:r w:rsidRPr="003732AE">
        <w:t>Selecting e-</w:t>
      </w:r>
      <w:r>
        <w:t>marketplace</w:t>
      </w:r>
      <w:r w:rsidRPr="003732AE">
        <w:t xml:space="preserve"> that suits the target consumer is one step toward increasing the seller's profits. An approach regarding the selection of appropriate e-commerce can provide advice for sellers in compiling and suggesting competitive marketing strategies and can allocate limited resources to obtain maximum profits </w:t>
      </w:r>
      <w:r w:rsidRPr="003732AE">
        <w:rPr>
          <w:b/>
          <w:bCs/>
        </w:rPr>
        <w:fldChar w:fldCharType="begin" w:fldLock="1"/>
      </w:r>
      <w:r w:rsidR="00907A9C">
        <w:instrText>ADDIN CSL_CITATION {"citationItems":[{"id":"ITEM-1","itemData":{"abstract":"… In Proceedings of the Annual Conference of the Travel and Tourism Research Association, Travel and Tourism Research Association, New Orleans, LA. Kim, MS, Ahn, JH (2007), Management of trust in the e-marketplace: The role of the buyer's experience in building trust …","author":[{"dropping-particle":"","family":"Sahel","given":"Samira","non-dropping-particle":"","parse-names":false,"suffix":""},{"dropping-particle":"","family":"Anwar","given":"Tasmia","non-dropping-particle":"","parse-names":false,"suffix":""},{"dropping-particle":"","family":"Nandi","given":"Barnali","non-dropping-particle":"","parse-names":false,"suffix":""}],"container-title":"International Review of Management and Marketing","id":"ITEM-1","issue":"4","issued":{"date-parts":[["2018"]]},"page":"1-6","title":"Factors Affecting the Selection of an E-Commerce Website in Bangladesh : E-tailers ’ Perspective","type":"article-journal","volume":"8"},"uris":["http://www.mendeley.com/documents/?uuid=73199e68-37ae-4487-85a7-9a91e8843806","http://www.mendeley.com/documents/?uuid=5341c448-4325-44a5-ac31-b29970d95a96"]}],"mendeley":{"formattedCitation":"(Sahel et al., 2018)","plainTextFormattedCitation":"(Sahel et al., 2018)","previouslyFormattedCitation":"(Sahel et al., 2018)"},"properties":{"noteIndex":0},"schema":"https://github.com/citation-style-language/schema/raw/master/csl-citation.json"}</w:instrText>
      </w:r>
      <w:r w:rsidRPr="003732AE">
        <w:rPr>
          <w:b/>
          <w:bCs/>
        </w:rPr>
        <w:fldChar w:fldCharType="separate"/>
      </w:r>
      <w:r w:rsidRPr="000631E1">
        <w:rPr>
          <w:noProof/>
        </w:rPr>
        <w:t>(Sahel et al., 2018)</w:t>
      </w:r>
      <w:r w:rsidRPr="003732AE">
        <w:rPr>
          <w:b/>
          <w:bCs/>
        </w:rPr>
        <w:fldChar w:fldCharType="end"/>
      </w:r>
      <w:r w:rsidRPr="003732AE">
        <w:t>.</w:t>
      </w:r>
      <w:bookmarkEnd w:id="0"/>
    </w:p>
    <w:p w14:paraId="7F4D7332" w14:textId="19F210B7" w:rsidR="00D13BEA" w:rsidRDefault="00935A6D" w:rsidP="00935A6D">
      <w:pPr>
        <w:pStyle w:val="Heading2"/>
        <w:rPr>
          <w:rFonts w:ascii="Arial" w:hAnsi="Arial" w:cs="Arial"/>
          <w:b/>
          <w:bCs/>
          <w:color w:val="000000" w:themeColor="text1"/>
          <w:sz w:val="22"/>
          <w:szCs w:val="22"/>
        </w:rPr>
      </w:pPr>
      <w:r w:rsidRPr="00935A6D">
        <w:rPr>
          <w:rFonts w:ascii="Arial" w:hAnsi="Arial" w:cs="Arial"/>
          <w:b/>
          <w:bCs/>
          <w:color w:val="000000" w:themeColor="text1"/>
          <w:sz w:val="22"/>
          <w:szCs w:val="22"/>
        </w:rPr>
        <w:t>Factor Analysis</w:t>
      </w:r>
    </w:p>
    <w:p w14:paraId="719F42C9" w14:textId="54FA5309" w:rsidR="00935A6D" w:rsidRPr="00935A6D" w:rsidRDefault="00935A6D" w:rsidP="00935A6D">
      <w:pPr>
        <w:pStyle w:val="ListParagraph"/>
        <w:ind w:left="0" w:firstLine="720"/>
        <w:jc w:val="both"/>
        <w:rPr>
          <w:rFonts w:ascii="Arial" w:hAnsi="Arial" w:cs="Arial"/>
          <w:sz w:val="20"/>
          <w:lang w:val="en-US"/>
        </w:rPr>
      </w:pPr>
      <w:r w:rsidRPr="00935A6D">
        <w:rPr>
          <w:rStyle w:val="Emphasis"/>
          <w:rFonts w:ascii="Arial" w:hAnsi="Arial" w:cs="Arial"/>
          <w:color w:val="000000" w:themeColor="text1"/>
          <w:sz w:val="20"/>
        </w:rPr>
        <w:t>Factor analysis</w:t>
      </w:r>
      <w:r w:rsidRPr="00935A6D">
        <w:rPr>
          <w:rFonts w:ascii="Arial" w:hAnsi="Arial" w:cs="Arial"/>
          <w:color w:val="000000" w:themeColor="text1"/>
          <w:sz w:val="20"/>
        </w:rPr>
        <w:t> is a multivariate statistical method used to explain the relationship between several variables that are mutually independent of one another. Factor analysis reduces many variables or factors into a smaller set. Generally, factor analysis is used in information systems, social sciences, psychology, business, and education which are considered approaches to interpreting surveys</w:t>
      </w:r>
      <w:r w:rsidRPr="00935A6D">
        <w:rPr>
          <w:rFonts w:ascii="Arial" w:hAnsi="Arial" w:cs="Arial"/>
          <w:color w:val="000000" w:themeColor="text1"/>
          <w:sz w:val="20"/>
          <w:lang w:val="en-US"/>
        </w:rPr>
        <w:t xml:space="preserve"> </w:t>
      </w:r>
      <w:r w:rsidRPr="00935A6D">
        <w:rPr>
          <w:rFonts w:ascii="Arial" w:hAnsi="Arial" w:cs="Arial"/>
          <w:color w:val="000000" w:themeColor="text1"/>
          <w:sz w:val="20"/>
          <w:lang w:val="en-US"/>
        </w:rPr>
        <w:fldChar w:fldCharType="begin" w:fldLock="1"/>
      </w:r>
      <w:r w:rsidRPr="00935A6D">
        <w:rPr>
          <w:rFonts w:ascii="Arial" w:hAnsi="Arial" w:cs="Arial"/>
          <w:color w:val="000000" w:themeColor="text1"/>
          <w:sz w:val="20"/>
          <w:lang w:val="en-US"/>
        </w:rPr>
        <w:instrText>ADDIN CSL_CITATION {"citationItems":[{"id":"ITEM-1","itemData":{"ISBN":"9789604743803","author":[{"dropping-particle":"","family":"Taherdoost","given":"Hamed","non-dropping-particle":"","parse-names":false,"suffix":""},{"dropping-particle":"","family":"Sahibuddin","given":"Shamsul","non-dropping-particle":"","parse-names":false,"suffix":""},{"dropping-particle":"","family":"Jalaliyoon","given":"Neda","non-dropping-particle":"","parse-names":false,"suffix":""}],"container-title":"Advances in Applied and Pure Mathematics","id":"ITEM-1","issued":{"date-parts":[["2022"]]},"page":"375-382","title":"Exploratory Factor Analysis ; Concepts and Theory 2 Factor Analysis 3 Types of Factor Analysis 4 Exploratory Factor Analyses","type":"article-journal"},"uris":["http://www.mendeley.com/documents/?uuid=471934fa-0b2b-4bbb-9246-126ed5c9c16b","http://www.mendeley.com/documents/?uuid=b8aec306-c85a-43ec-9d7b-de73351d0782","http://www.mendeley.com/documents/?uuid=0e4defe0-4584-46be-84d2-ca0f229211e5"]}],"mendeley":{"formattedCitation":"(Taherdoost et al., 2022)","plainTextFormattedCitation":"(Taherdoost et al., 2022)","previouslyFormattedCitation":"(Taherdoost et al., 2022)"},"properties":{"noteIndex":0},"schema":"https://github.com/citation-style-language/schema/raw/master/csl-citation.json"}</w:instrText>
      </w:r>
      <w:r w:rsidRPr="00935A6D">
        <w:rPr>
          <w:rFonts w:ascii="Arial" w:hAnsi="Arial" w:cs="Arial"/>
          <w:color w:val="000000" w:themeColor="text1"/>
          <w:sz w:val="20"/>
          <w:lang w:val="en-US"/>
        </w:rPr>
        <w:fldChar w:fldCharType="separate"/>
      </w:r>
      <w:r w:rsidRPr="00935A6D">
        <w:rPr>
          <w:rFonts w:ascii="Arial" w:hAnsi="Arial" w:cs="Arial"/>
          <w:noProof/>
          <w:color w:val="000000" w:themeColor="text1"/>
          <w:sz w:val="20"/>
          <w:lang w:val="en-US"/>
        </w:rPr>
        <w:t>(Taherdoost et al., 2022)</w:t>
      </w:r>
      <w:r w:rsidRPr="00935A6D">
        <w:rPr>
          <w:rFonts w:ascii="Arial" w:hAnsi="Arial" w:cs="Arial"/>
          <w:color w:val="000000" w:themeColor="text1"/>
          <w:sz w:val="20"/>
          <w:lang w:val="en-US"/>
        </w:rPr>
        <w:fldChar w:fldCharType="end"/>
      </w:r>
      <w:r w:rsidRPr="00935A6D">
        <w:rPr>
          <w:rFonts w:ascii="Arial" w:hAnsi="Arial" w:cs="Arial"/>
          <w:color w:val="000000" w:themeColor="text1"/>
          <w:sz w:val="20"/>
          <w:lang w:val="en-US"/>
        </w:rPr>
        <w:t xml:space="preserve">. </w:t>
      </w:r>
      <w:r w:rsidRPr="00935A6D">
        <w:rPr>
          <w:rFonts w:ascii="Arial" w:hAnsi="Arial" w:cs="Arial"/>
          <w:sz w:val="20"/>
          <w:lang w:val="en-US"/>
        </w:rPr>
        <w:t xml:space="preserve">Factor analysis is a statistical method used to collect types of validity evidence in research. Factor analysis helps researchers explore or confirm relationships between questionnaire items and identify the total number of dimensions represented </w:t>
      </w:r>
      <w:r w:rsidRPr="00935A6D">
        <w:rPr>
          <w:rFonts w:ascii="Arial" w:hAnsi="Arial" w:cs="Arial"/>
          <w:sz w:val="20"/>
          <w:lang w:val="en-US"/>
        </w:rPr>
        <w:fldChar w:fldCharType="begin" w:fldLock="1"/>
      </w:r>
      <w:r w:rsidR="00907A9C">
        <w:rPr>
          <w:rFonts w:ascii="Arial" w:hAnsi="Arial" w:cs="Arial"/>
          <w:sz w:val="20"/>
          <w:lang w:val="en-US"/>
        </w:rPr>
        <w:instrText>ADDIN CSL_CITATION {"citationItems":[{"id":"ITEM-1","itemData":{"DOI":"10.1187/cbe.18-04-0064","ISSN":"19317913","PMID":"30821600","abstract":"Across all sciences, the quality of measurements is important. Survey measurements are only appropriate for use when researchers have validity evidence within their particular context. Yet, this step is frequently skipped or is not reported in educational research. This article briefly reviews the aspects of validity that researchers should consider when using surveys. It then focuses on factor analysis, a statistical method that can be used to collect an important type of validity evidence. Factor analysis helps researchers explore or confirm the relationships between survey items and identify the total number of dimensions represented on the survey. The essential steps to conduct and interpret a factor analysis are described. This use of factor analysis is illustrated throughout by a validation of Diekman and colleagues’ goal endorsement instrument for use with first-year undergraduate science, technology, engineering, and mathematics students. We provide example data, annotated code, and output for analyses in R, an open-source programming language and software environment for statistical computing. For education researchers using surveys, understanding the theoretical and statistical underpinnings of survey validity is fundamental for implementing rigorous education research.","author":[{"dropping-particle":"","family":"Knekta","given":"Eva","non-dropping-particle":"","parse-names":false,"suffix":""},{"dropping-particle":"","family":"Runyon","given":"Christopher","non-dropping-particle":"","parse-names":false,"suffix":""},{"dropping-particle":"","family":"Eddy","given":"Sarah","non-dropping-particle":"","parse-names":false,"suffix":""}],"container-title":"CBE Life Sciences Education","id":"ITEM-1","issue":"1","issued":{"date-parts":[["2019"]]},"page":"1-17","title":"One size doesn’t fit all: Using factor analysis to gather validity evidence when using surveys in your research","type":"article-journal","volume":"18"},"uris":["http://www.mendeley.com/documents/?uuid=6d584f49-7a92-465a-9ef9-fa4954d30928","http://www.mendeley.com/documents/?uuid=625f722a-be09-41b8-8c4a-ba55fc949a02","http://www.mendeley.com/documents/?uuid=9e2391b0-5194-4274-8c73-07d055dd78d0","http://www.mendeley.com/documents/?uuid=45e87185-21a1-4452-92f6-62bcede35dee"]}],"mendeley":{"formattedCitation":"(Knekta et al., 2019)","plainTextFormattedCitation":"(Knekta et al., 2019)","previouslyFormattedCitation":"(Knekta et al., 2019)"},"properties":{"noteIndex":0},"schema":"https://github.com/citation-style-language/schema/raw/master/csl-citation.json"}</w:instrText>
      </w:r>
      <w:r w:rsidRPr="00935A6D">
        <w:rPr>
          <w:rFonts w:ascii="Arial" w:hAnsi="Arial" w:cs="Arial"/>
          <w:sz w:val="20"/>
          <w:lang w:val="en-US"/>
        </w:rPr>
        <w:fldChar w:fldCharType="separate"/>
      </w:r>
      <w:r w:rsidRPr="00935A6D">
        <w:rPr>
          <w:rFonts w:ascii="Arial" w:hAnsi="Arial" w:cs="Arial"/>
          <w:noProof/>
          <w:sz w:val="20"/>
          <w:lang w:val="en-US"/>
        </w:rPr>
        <w:t>(Knekta et al., 2019)</w:t>
      </w:r>
      <w:r w:rsidRPr="00935A6D">
        <w:rPr>
          <w:rFonts w:ascii="Arial" w:hAnsi="Arial" w:cs="Arial"/>
          <w:sz w:val="20"/>
          <w:lang w:val="en-US"/>
        </w:rPr>
        <w:fldChar w:fldCharType="end"/>
      </w:r>
      <w:r w:rsidRPr="00935A6D">
        <w:rPr>
          <w:rFonts w:ascii="Arial" w:hAnsi="Arial" w:cs="Arial"/>
          <w:sz w:val="20"/>
          <w:lang w:val="en-US"/>
        </w:rPr>
        <w:t>.</w:t>
      </w:r>
    </w:p>
    <w:p w14:paraId="7677EBD5" w14:textId="1900365C" w:rsidR="00935A6D" w:rsidRDefault="00935A6D" w:rsidP="00935A6D">
      <w:pPr>
        <w:rPr>
          <w:rFonts w:eastAsia="Arial"/>
        </w:rPr>
      </w:pPr>
    </w:p>
    <w:p w14:paraId="38321B46" w14:textId="39E96BA1" w:rsidR="006C6575" w:rsidRDefault="006C6575" w:rsidP="00935A6D">
      <w:pPr>
        <w:rPr>
          <w:rFonts w:ascii="Arial" w:eastAsia="Arial" w:hAnsi="Arial" w:cs="Arial"/>
          <w:b/>
          <w:bCs/>
          <w:sz w:val="22"/>
          <w:szCs w:val="22"/>
        </w:rPr>
      </w:pPr>
      <w:r w:rsidRPr="006C6575">
        <w:rPr>
          <w:rFonts w:ascii="Arial" w:eastAsia="Arial" w:hAnsi="Arial" w:cs="Arial"/>
          <w:b/>
          <w:bCs/>
          <w:sz w:val="22"/>
          <w:szCs w:val="22"/>
        </w:rPr>
        <w:t>METHOD</w:t>
      </w:r>
    </w:p>
    <w:p w14:paraId="1E0342C3" w14:textId="77777777" w:rsidR="006C6575" w:rsidRPr="006C6575" w:rsidRDefault="006C6575" w:rsidP="006C6575">
      <w:pPr>
        <w:tabs>
          <w:tab w:val="left" w:pos="426"/>
        </w:tabs>
        <w:jc w:val="both"/>
        <w:rPr>
          <w:rFonts w:ascii="Arial" w:eastAsiaTheme="minorEastAsia" w:hAnsi="Arial" w:cs="Arial"/>
        </w:rPr>
      </w:pPr>
      <w:r w:rsidRPr="006C6575">
        <w:rPr>
          <w:rFonts w:ascii="Arial" w:hAnsi="Arial" w:cs="Arial"/>
          <w:color w:val="000000" w:themeColor="text1"/>
        </w:rPr>
        <w:lastRenderedPageBreak/>
        <w:t xml:space="preserve">Formation of a model for selecting a e-marketplace in this study uses the Confirmatory Factor Analysis method using the IBM SPSS 25. </w:t>
      </w:r>
      <w:r w:rsidRPr="006C6575">
        <w:rPr>
          <w:rFonts w:ascii="Arial" w:hAnsi="Arial" w:cs="Arial"/>
          <w:color w:val="000000" w:themeColor="text1"/>
          <w:lang w:val="en-US"/>
        </w:rPr>
        <w:t xml:space="preserve">In this study, there are 14 variables used, namely ease of use, trust, product, service operation, marketing and sales, payment channel, platform, product reviews, perceived risk, information quality </w:t>
      </w:r>
      <w:r w:rsidRPr="006C6575">
        <w:rPr>
          <w:rFonts w:ascii="Arial" w:hAnsi="Arial" w:cs="Arial"/>
          <w:color w:val="000000" w:themeColor="text1"/>
        </w:rPr>
        <w:t xml:space="preserve">technical, environmental, organizational and technology. </w:t>
      </w:r>
      <w:r w:rsidRPr="006C6575">
        <w:rPr>
          <w:rFonts w:ascii="Arial" w:hAnsi="Arial" w:cs="Arial"/>
        </w:rPr>
        <w:t xml:space="preserve">This study uses a varimax rotation, which forms a correlation of dominant items on only one factor. Item correlations are made close to the absolute values of 1 and 0 for each factor, so the interpretation of dominant indicators can be made more quickly. Indicators with factor loading &gt; 0.3 have a weak contribution to the new factor. </w:t>
      </w:r>
      <w:r w:rsidRPr="006C6575">
        <w:rPr>
          <w:rFonts w:ascii="Arial" w:eastAsiaTheme="minorEastAsia" w:hAnsi="Arial" w:cs="Arial"/>
        </w:rPr>
        <w:t xml:space="preserve">Binary logistic regression is a statistical method used to </w:t>
      </w:r>
      <w:proofErr w:type="spellStart"/>
      <w:r w:rsidRPr="006C6575">
        <w:rPr>
          <w:rFonts w:ascii="Arial" w:eastAsiaTheme="minorEastAsia" w:hAnsi="Arial" w:cs="Arial"/>
        </w:rPr>
        <w:t>analyze</w:t>
      </w:r>
      <w:proofErr w:type="spellEnd"/>
      <w:r w:rsidRPr="006C6575">
        <w:rPr>
          <w:rFonts w:ascii="Arial" w:eastAsiaTheme="minorEastAsia" w:hAnsi="Arial" w:cs="Arial"/>
        </w:rPr>
        <w:t xml:space="preserve"> the relationship between one or more independent variables and a binary dependent variable. The analysis of binary logistic regression involves several stages commonly undertaken to understand the relationship between independent variables and a binary dependent variable (two categories). The following are the common stages in the analysis of binary logistic regression:</w:t>
      </w:r>
    </w:p>
    <w:p w14:paraId="7E24FBBE" w14:textId="77777777" w:rsidR="006C6575" w:rsidRPr="006C6575" w:rsidRDefault="006C6575" w:rsidP="006C6575">
      <w:pPr>
        <w:pStyle w:val="ListParagraph"/>
        <w:numPr>
          <w:ilvl w:val="0"/>
          <w:numId w:val="13"/>
        </w:numPr>
        <w:tabs>
          <w:tab w:val="left" w:pos="1035"/>
        </w:tabs>
        <w:ind w:hanging="436"/>
        <w:jc w:val="both"/>
        <w:rPr>
          <w:rFonts w:ascii="Arial" w:eastAsiaTheme="minorEastAsia" w:hAnsi="Arial" w:cs="Arial"/>
          <w:sz w:val="20"/>
        </w:rPr>
      </w:pPr>
      <w:r w:rsidRPr="006C6575">
        <w:rPr>
          <w:rFonts w:ascii="Arial" w:eastAsiaTheme="minorEastAsia" w:hAnsi="Arial" w:cs="Arial"/>
          <w:sz w:val="20"/>
        </w:rPr>
        <w:t>Identify multicollinearity with the value of Variance Inflation Factor (VIF).</w:t>
      </w:r>
    </w:p>
    <w:p w14:paraId="6BDA9E1C" w14:textId="77777777" w:rsidR="006C6575" w:rsidRPr="006C6575" w:rsidRDefault="006C6575" w:rsidP="006C6575">
      <w:pPr>
        <w:pStyle w:val="ListParagraph"/>
        <w:numPr>
          <w:ilvl w:val="0"/>
          <w:numId w:val="13"/>
        </w:numPr>
        <w:tabs>
          <w:tab w:val="left" w:pos="1035"/>
        </w:tabs>
        <w:ind w:hanging="436"/>
        <w:jc w:val="both"/>
        <w:rPr>
          <w:rFonts w:ascii="Arial" w:eastAsiaTheme="minorEastAsia" w:hAnsi="Arial" w:cs="Arial"/>
          <w:sz w:val="20"/>
        </w:rPr>
      </w:pPr>
      <w:r w:rsidRPr="006C6575">
        <w:rPr>
          <w:rFonts w:ascii="Arial" w:eastAsiaTheme="minorEastAsia" w:hAnsi="Arial" w:cs="Arial"/>
          <w:sz w:val="20"/>
        </w:rPr>
        <w:t>Perform concurrent tests using the Likelihood Ratio Test to see if the independent variable simultaneously affects the dependent variable.</w:t>
      </w:r>
    </w:p>
    <w:p w14:paraId="3CF07C34" w14:textId="77777777" w:rsidR="006C6575" w:rsidRPr="006C6575" w:rsidRDefault="006C6575" w:rsidP="006C6575">
      <w:pPr>
        <w:pStyle w:val="ListParagraph"/>
        <w:numPr>
          <w:ilvl w:val="0"/>
          <w:numId w:val="13"/>
        </w:numPr>
        <w:tabs>
          <w:tab w:val="left" w:pos="1035"/>
        </w:tabs>
        <w:ind w:hanging="436"/>
        <w:jc w:val="both"/>
        <w:rPr>
          <w:rFonts w:ascii="Arial" w:eastAsiaTheme="minorEastAsia" w:hAnsi="Arial" w:cs="Arial"/>
          <w:sz w:val="20"/>
        </w:rPr>
      </w:pPr>
      <w:r w:rsidRPr="006C6575">
        <w:rPr>
          <w:rFonts w:ascii="Arial" w:eastAsiaTheme="minorEastAsia" w:hAnsi="Arial" w:cs="Arial"/>
          <w:sz w:val="20"/>
        </w:rPr>
        <w:t>Perform a partial test using the Wald test to see which independent variables significantly affect the dependent variable.</w:t>
      </w:r>
    </w:p>
    <w:p w14:paraId="70D99D3F" w14:textId="77777777" w:rsidR="006C6575" w:rsidRPr="006C6575" w:rsidRDefault="006C6575" w:rsidP="006C6575">
      <w:pPr>
        <w:pStyle w:val="ListParagraph"/>
        <w:numPr>
          <w:ilvl w:val="0"/>
          <w:numId w:val="13"/>
        </w:numPr>
        <w:tabs>
          <w:tab w:val="left" w:pos="1035"/>
        </w:tabs>
        <w:ind w:hanging="436"/>
        <w:jc w:val="both"/>
        <w:rPr>
          <w:rFonts w:ascii="Arial" w:eastAsiaTheme="minorEastAsia" w:hAnsi="Arial" w:cs="Arial"/>
          <w:sz w:val="20"/>
        </w:rPr>
      </w:pPr>
      <w:r w:rsidRPr="006C6575">
        <w:rPr>
          <w:rFonts w:ascii="Arial" w:eastAsiaTheme="minorEastAsia" w:hAnsi="Arial" w:cs="Arial"/>
          <w:sz w:val="20"/>
        </w:rPr>
        <w:t xml:space="preserve">Conduct a model suitability test using </w:t>
      </w:r>
      <w:proofErr w:type="spellStart"/>
      <w:r w:rsidRPr="006C6575">
        <w:rPr>
          <w:rFonts w:ascii="Arial" w:eastAsiaTheme="minorEastAsia" w:hAnsi="Arial" w:cs="Arial"/>
          <w:sz w:val="20"/>
        </w:rPr>
        <w:t>Hosmer-Lemeshow</w:t>
      </w:r>
      <w:proofErr w:type="spellEnd"/>
      <w:r w:rsidRPr="006C6575">
        <w:rPr>
          <w:rFonts w:ascii="Arial" w:eastAsiaTheme="minorEastAsia" w:hAnsi="Arial" w:cs="Arial"/>
          <w:sz w:val="20"/>
        </w:rPr>
        <w:t xml:space="preserve"> Goodness of Fit to find out whether the model formed is suitable or not with the data used.</w:t>
      </w:r>
    </w:p>
    <w:p w14:paraId="6772693A" w14:textId="77777777" w:rsidR="006C6575" w:rsidRPr="006C6575" w:rsidRDefault="006C6575" w:rsidP="006C6575">
      <w:pPr>
        <w:pStyle w:val="ListParagraph"/>
        <w:numPr>
          <w:ilvl w:val="0"/>
          <w:numId w:val="13"/>
        </w:numPr>
        <w:tabs>
          <w:tab w:val="left" w:pos="1035"/>
        </w:tabs>
        <w:ind w:hanging="436"/>
        <w:jc w:val="both"/>
        <w:rPr>
          <w:rFonts w:ascii="Arial" w:eastAsiaTheme="minorEastAsia" w:hAnsi="Arial" w:cs="Arial"/>
          <w:sz w:val="20"/>
        </w:rPr>
      </w:pPr>
      <w:r w:rsidRPr="006C6575">
        <w:rPr>
          <w:rFonts w:ascii="Arial" w:eastAsiaTheme="minorEastAsia" w:hAnsi="Arial" w:cs="Arial"/>
          <w:sz w:val="20"/>
        </w:rPr>
        <w:t>Output insignificant variables and shape the model until it meets the test in steps 2-4.</w:t>
      </w:r>
    </w:p>
    <w:p w14:paraId="2B3BD347" w14:textId="77777777" w:rsidR="006C6575" w:rsidRPr="006C6575" w:rsidRDefault="006C6575" w:rsidP="006C6575">
      <w:pPr>
        <w:pStyle w:val="ListParagraph"/>
        <w:numPr>
          <w:ilvl w:val="0"/>
          <w:numId w:val="13"/>
        </w:numPr>
        <w:tabs>
          <w:tab w:val="left" w:pos="1035"/>
        </w:tabs>
        <w:ind w:hanging="436"/>
        <w:jc w:val="both"/>
        <w:rPr>
          <w:rFonts w:ascii="Arial" w:eastAsiaTheme="minorEastAsia" w:hAnsi="Arial" w:cs="Arial"/>
          <w:sz w:val="20"/>
        </w:rPr>
      </w:pPr>
      <w:r w:rsidRPr="006C6575">
        <w:rPr>
          <w:rFonts w:ascii="Arial" w:eastAsiaTheme="minorEastAsia" w:hAnsi="Arial" w:cs="Arial"/>
          <w:sz w:val="20"/>
        </w:rPr>
        <w:t xml:space="preserve">Perform binary logistic regression analysis </w:t>
      </w:r>
      <w:proofErr w:type="spellStart"/>
      <w:r w:rsidRPr="006C6575">
        <w:rPr>
          <w:rFonts w:ascii="Arial" w:eastAsiaTheme="minorEastAsia" w:hAnsi="Arial" w:cs="Arial"/>
          <w:sz w:val="20"/>
        </w:rPr>
        <w:t>modeling</w:t>
      </w:r>
      <w:proofErr w:type="spellEnd"/>
    </w:p>
    <w:p w14:paraId="31251247" w14:textId="77777777" w:rsidR="006C6575" w:rsidRPr="006C6575" w:rsidRDefault="006C6575" w:rsidP="006C6575">
      <w:pPr>
        <w:pStyle w:val="ListParagraph"/>
        <w:numPr>
          <w:ilvl w:val="0"/>
          <w:numId w:val="13"/>
        </w:numPr>
        <w:tabs>
          <w:tab w:val="left" w:pos="1035"/>
        </w:tabs>
        <w:ind w:hanging="436"/>
        <w:jc w:val="both"/>
        <w:rPr>
          <w:rFonts w:ascii="Arial" w:eastAsiaTheme="minorEastAsia" w:hAnsi="Arial" w:cs="Arial"/>
          <w:sz w:val="20"/>
        </w:rPr>
      </w:pPr>
      <w:r w:rsidRPr="006C6575">
        <w:rPr>
          <w:rFonts w:ascii="Arial" w:eastAsiaTheme="minorEastAsia" w:hAnsi="Arial" w:cs="Arial"/>
          <w:sz w:val="20"/>
        </w:rPr>
        <w:t>Selecting the best model by comparing the AIC value of each model formed</w:t>
      </w:r>
    </w:p>
    <w:p w14:paraId="115B4039" w14:textId="1C18B386" w:rsidR="006C6575" w:rsidRDefault="006C6575" w:rsidP="006C6575">
      <w:pPr>
        <w:pStyle w:val="ListParagraph"/>
        <w:ind w:left="0" w:firstLine="709"/>
        <w:jc w:val="both"/>
        <w:rPr>
          <w:rFonts w:ascii="Arial" w:eastAsiaTheme="minorEastAsia" w:hAnsi="Arial" w:cs="Arial"/>
          <w:sz w:val="20"/>
        </w:rPr>
      </w:pPr>
      <w:r w:rsidRPr="006C6575">
        <w:rPr>
          <w:rFonts w:ascii="Arial" w:eastAsiaTheme="minorEastAsia" w:hAnsi="Arial" w:cs="Arial"/>
          <w:sz w:val="20"/>
        </w:rPr>
        <w:t>Calculate the best model misclassification using APER.</w:t>
      </w:r>
    </w:p>
    <w:p w14:paraId="7AABEE19" w14:textId="30BD473D" w:rsidR="006C6575" w:rsidRDefault="006C6575" w:rsidP="006C6575">
      <w:pPr>
        <w:jc w:val="both"/>
        <w:rPr>
          <w:rFonts w:ascii="Arial" w:hAnsi="Arial" w:cs="Arial"/>
        </w:rPr>
      </w:pPr>
    </w:p>
    <w:p w14:paraId="6862C879" w14:textId="3037682A" w:rsidR="006C6575" w:rsidRPr="006C6575" w:rsidRDefault="006C6575" w:rsidP="006C6575">
      <w:pPr>
        <w:jc w:val="both"/>
        <w:rPr>
          <w:rFonts w:ascii="Arial" w:hAnsi="Arial" w:cs="Arial"/>
          <w:b/>
          <w:bCs/>
          <w:sz w:val="22"/>
          <w:szCs w:val="22"/>
        </w:rPr>
      </w:pPr>
      <w:r w:rsidRPr="006C6575">
        <w:rPr>
          <w:rFonts w:ascii="Arial" w:hAnsi="Arial" w:cs="Arial"/>
          <w:b/>
          <w:bCs/>
          <w:sz w:val="22"/>
          <w:szCs w:val="22"/>
        </w:rPr>
        <w:t>RESULT</w:t>
      </w:r>
    </w:p>
    <w:p w14:paraId="4AD2C1E0" w14:textId="41559D81" w:rsidR="006C6575" w:rsidRDefault="006C6575" w:rsidP="00935A6D">
      <w:pPr>
        <w:rPr>
          <w:rFonts w:ascii="Arial" w:eastAsia="Arial" w:hAnsi="Arial" w:cs="Arial"/>
          <w:b/>
          <w:bCs/>
          <w:sz w:val="22"/>
          <w:szCs w:val="22"/>
        </w:rPr>
      </w:pPr>
      <w:r w:rsidRPr="006C6575">
        <w:rPr>
          <w:rFonts w:ascii="Arial" w:eastAsia="Arial" w:hAnsi="Arial" w:cs="Arial"/>
          <w:b/>
          <w:bCs/>
          <w:sz w:val="22"/>
          <w:szCs w:val="22"/>
        </w:rPr>
        <w:t>Factor Rotation</w:t>
      </w:r>
    </w:p>
    <w:p w14:paraId="0C88348F" w14:textId="7FDB69DF" w:rsidR="006C6575" w:rsidRPr="006C6575" w:rsidRDefault="006C6575" w:rsidP="00935A6D">
      <w:pPr>
        <w:rPr>
          <w:rFonts w:ascii="Arial" w:hAnsi="Arial" w:cs="Arial"/>
        </w:rPr>
      </w:pPr>
      <w:r w:rsidRPr="006C6575">
        <w:rPr>
          <w:rFonts w:ascii="Arial" w:hAnsi="Arial" w:cs="Arial"/>
        </w:rPr>
        <w:t>After knowing the factors that form several two factors, the next step is to determine each variable that goes into these factors. Determining variables into the formed factors can be seen in the Component Matrix table.</w:t>
      </w:r>
    </w:p>
    <w:p w14:paraId="16423849" w14:textId="0C5C6169" w:rsidR="006C6575" w:rsidRPr="006C6575" w:rsidRDefault="006C6575" w:rsidP="006C6575">
      <w:pPr>
        <w:pStyle w:val="Caption"/>
        <w:spacing w:after="0" w:line="360" w:lineRule="auto"/>
        <w:contextualSpacing/>
        <w:jc w:val="center"/>
        <w:rPr>
          <w:rFonts w:ascii="Arial" w:hAnsi="Arial" w:cs="Arial"/>
          <w:i/>
          <w:iCs/>
          <w:color w:val="000000" w:themeColor="text1"/>
        </w:rPr>
      </w:pPr>
      <w:bookmarkStart w:id="1" w:name="_Toc156982797"/>
      <w:r w:rsidRPr="006C6575">
        <w:rPr>
          <w:rFonts w:ascii="Arial" w:hAnsi="Arial" w:cs="Arial"/>
          <w:color w:val="000000" w:themeColor="text1"/>
        </w:rPr>
        <w:t>Table 1. Component Matrix table</w:t>
      </w:r>
      <w:bookmarkEnd w:id="1"/>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941"/>
        <w:gridCol w:w="1134"/>
      </w:tblGrid>
      <w:tr w:rsidR="006C6575" w:rsidRPr="006C6575" w14:paraId="7FC920A1" w14:textId="77777777" w:rsidTr="006C6575">
        <w:trPr>
          <w:jc w:val="center"/>
        </w:trPr>
        <w:tc>
          <w:tcPr>
            <w:tcW w:w="2268" w:type="dxa"/>
            <w:vMerge w:val="restart"/>
            <w:shd w:val="clear" w:color="auto" w:fill="BFBFBF" w:themeFill="background1" w:themeFillShade="BF"/>
            <w:vAlign w:val="center"/>
          </w:tcPr>
          <w:p w14:paraId="0575F6D4" w14:textId="77777777" w:rsidR="006C6575" w:rsidRPr="006C6575" w:rsidRDefault="006C6575" w:rsidP="000177A6">
            <w:pPr>
              <w:pStyle w:val="ListParagraph"/>
              <w:ind w:left="0"/>
              <w:jc w:val="center"/>
              <w:rPr>
                <w:rFonts w:ascii="Arial" w:hAnsi="Arial" w:cs="Arial"/>
                <w:color w:val="000000" w:themeColor="text1"/>
                <w:sz w:val="20"/>
              </w:rPr>
            </w:pPr>
            <w:proofErr w:type="spellStart"/>
            <w:r w:rsidRPr="006C6575">
              <w:rPr>
                <w:rFonts w:ascii="Arial" w:hAnsi="Arial" w:cs="Arial"/>
                <w:color w:val="000000" w:themeColor="text1"/>
                <w:sz w:val="20"/>
              </w:rPr>
              <w:t>Variabel</w:t>
            </w:r>
            <w:proofErr w:type="spellEnd"/>
          </w:p>
        </w:tc>
        <w:tc>
          <w:tcPr>
            <w:tcW w:w="2075" w:type="dxa"/>
            <w:gridSpan w:val="2"/>
            <w:shd w:val="clear" w:color="auto" w:fill="BFBFBF" w:themeFill="background1" w:themeFillShade="BF"/>
            <w:vAlign w:val="center"/>
          </w:tcPr>
          <w:p w14:paraId="198AE03C" w14:textId="77777777" w:rsidR="006C6575" w:rsidRPr="006C6575" w:rsidRDefault="006C6575" w:rsidP="000177A6">
            <w:pPr>
              <w:pStyle w:val="ListParagraph"/>
              <w:ind w:left="0"/>
              <w:jc w:val="center"/>
              <w:rPr>
                <w:rFonts w:ascii="Arial" w:hAnsi="Arial" w:cs="Arial"/>
                <w:color w:val="000000" w:themeColor="text1"/>
                <w:sz w:val="20"/>
              </w:rPr>
            </w:pPr>
            <w:r w:rsidRPr="006C6575">
              <w:rPr>
                <w:rFonts w:ascii="Arial" w:hAnsi="Arial" w:cs="Arial"/>
                <w:color w:val="000000" w:themeColor="text1"/>
                <w:sz w:val="20"/>
              </w:rPr>
              <w:t>Component</w:t>
            </w:r>
          </w:p>
        </w:tc>
      </w:tr>
      <w:tr w:rsidR="006C6575" w:rsidRPr="006C6575" w14:paraId="72417361" w14:textId="77777777" w:rsidTr="006C6575">
        <w:trPr>
          <w:jc w:val="center"/>
        </w:trPr>
        <w:tc>
          <w:tcPr>
            <w:tcW w:w="2268" w:type="dxa"/>
            <w:vMerge/>
            <w:shd w:val="clear" w:color="auto" w:fill="BFBFBF" w:themeFill="background1" w:themeFillShade="BF"/>
            <w:vAlign w:val="center"/>
          </w:tcPr>
          <w:p w14:paraId="61F5C197" w14:textId="77777777" w:rsidR="006C6575" w:rsidRPr="006C6575" w:rsidRDefault="006C6575" w:rsidP="000177A6">
            <w:pPr>
              <w:pStyle w:val="ListParagraph"/>
              <w:ind w:left="0"/>
              <w:jc w:val="center"/>
              <w:rPr>
                <w:rFonts w:ascii="Arial" w:hAnsi="Arial" w:cs="Arial"/>
                <w:color w:val="000000" w:themeColor="text1"/>
                <w:sz w:val="20"/>
              </w:rPr>
            </w:pPr>
          </w:p>
        </w:tc>
        <w:tc>
          <w:tcPr>
            <w:tcW w:w="941" w:type="dxa"/>
            <w:shd w:val="clear" w:color="auto" w:fill="BFBFBF" w:themeFill="background1" w:themeFillShade="BF"/>
            <w:vAlign w:val="center"/>
          </w:tcPr>
          <w:p w14:paraId="2C10967F" w14:textId="77777777" w:rsidR="006C6575" w:rsidRPr="006C6575" w:rsidRDefault="006C6575" w:rsidP="000177A6">
            <w:pPr>
              <w:pStyle w:val="ListParagraph"/>
              <w:ind w:left="0"/>
              <w:jc w:val="center"/>
              <w:rPr>
                <w:rFonts w:ascii="Arial" w:hAnsi="Arial" w:cs="Arial"/>
                <w:color w:val="000000" w:themeColor="text1"/>
                <w:sz w:val="20"/>
              </w:rPr>
            </w:pPr>
            <w:r w:rsidRPr="006C6575">
              <w:rPr>
                <w:rFonts w:ascii="Arial" w:hAnsi="Arial" w:cs="Arial"/>
                <w:color w:val="000000" w:themeColor="text1"/>
                <w:sz w:val="20"/>
              </w:rPr>
              <w:t>1</w:t>
            </w:r>
          </w:p>
        </w:tc>
        <w:tc>
          <w:tcPr>
            <w:tcW w:w="1134" w:type="dxa"/>
            <w:shd w:val="clear" w:color="auto" w:fill="BFBFBF" w:themeFill="background1" w:themeFillShade="BF"/>
            <w:vAlign w:val="center"/>
          </w:tcPr>
          <w:p w14:paraId="136A5B68" w14:textId="77777777" w:rsidR="006C6575" w:rsidRPr="006C6575" w:rsidRDefault="006C6575" w:rsidP="000177A6">
            <w:pPr>
              <w:pStyle w:val="ListParagraph"/>
              <w:ind w:left="0"/>
              <w:jc w:val="center"/>
              <w:rPr>
                <w:rFonts w:ascii="Arial" w:hAnsi="Arial" w:cs="Arial"/>
                <w:color w:val="000000" w:themeColor="text1"/>
                <w:sz w:val="20"/>
              </w:rPr>
            </w:pPr>
            <w:r w:rsidRPr="006C6575">
              <w:rPr>
                <w:rFonts w:ascii="Arial" w:hAnsi="Arial" w:cs="Arial"/>
                <w:color w:val="000000" w:themeColor="text1"/>
                <w:sz w:val="20"/>
              </w:rPr>
              <w:t>2</w:t>
            </w:r>
          </w:p>
        </w:tc>
      </w:tr>
      <w:tr w:rsidR="006C6575" w:rsidRPr="006C6575" w14:paraId="6AE07628" w14:textId="77777777" w:rsidTr="006C6575">
        <w:trPr>
          <w:jc w:val="center"/>
        </w:trPr>
        <w:tc>
          <w:tcPr>
            <w:tcW w:w="2268" w:type="dxa"/>
          </w:tcPr>
          <w:p w14:paraId="53F43ED5"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Ease of use</w:t>
            </w:r>
          </w:p>
        </w:tc>
        <w:tc>
          <w:tcPr>
            <w:tcW w:w="941" w:type="dxa"/>
            <w:vAlign w:val="center"/>
          </w:tcPr>
          <w:p w14:paraId="5C1B4F1D"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0.679</w:t>
            </w:r>
          </w:p>
        </w:tc>
        <w:tc>
          <w:tcPr>
            <w:tcW w:w="1134" w:type="dxa"/>
            <w:vAlign w:val="center"/>
          </w:tcPr>
          <w:p w14:paraId="1EB6EE4B"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-0.182</w:t>
            </w:r>
          </w:p>
        </w:tc>
      </w:tr>
      <w:tr w:rsidR="006C6575" w:rsidRPr="006C6575" w14:paraId="0BE9E8C0" w14:textId="77777777" w:rsidTr="006C6575">
        <w:trPr>
          <w:jc w:val="center"/>
        </w:trPr>
        <w:tc>
          <w:tcPr>
            <w:tcW w:w="2268" w:type="dxa"/>
          </w:tcPr>
          <w:p w14:paraId="4021BE3D"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Trust</w:t>
            </w:r>
          </w:p>
        </w:tc>
        <w:tc>
          <w:tcPr>
            <w:tcW w:w="941" w:type="dxa"/>
            <w:vAlign w:val="center"/>
          </w:tcPr>
          <w:p w14:paraId="698BFE9A"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0.795</w:t>
            </w:r>
          </w:p>
        </w:tc>
        <w:tc>
          <w:tcPr>
            <w:tcW w:w="1134" w:type="dxa"/>
            <w:vAlign w:val="center"/>
          </w:tcPr>
          <w:p w14:paraId="3AB34EFC"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-0.181</w:t>
            </w:r>
          </w:p>
        </w:tc>
      </w:tr>
      <w:tr w:rsidR="006C6575" w:rsidRPr="006C6575" w14:paraId="33E96120" w14:textId="77777777" w:rsidTr="006C6575">
        <w:trPr>
          <w:jc w:val="center"/>
        </w:trPr>
        <w:tc>
          <w:tcPr>
            <w:tcW w:w="2268" w:type="dxa"/>
          </w:tcPr>
          <w:p w14:paraId="2792C101"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Product</w:t>
            </w:r>
          </w:p>
        </w:tc>
        <w:tc>
          <w:tcPr>
            <w:tcW w:w="941" w:type="dxa"/>
            <w:vAlign w:val="center"/>
          </w:tcPr>
          <w:p w14:paraId="44030021"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0.744</w:t>
            </w:r>
          </w:p>
        </w:tc>
        <w:tc>
          <w:tcPr>
            <w:tcW w:w="1134" w:type="dxa"/>
            <w:vAlign w:val="center"/>
          </w:tcPr>
          <w:p w14:paraId="4228D7BE"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-0.176</w:t>
            </w:r>
          </w:p>
        </w:tc>
      </w:tr>
      <w:tr w:rsidR="006C6575" w:rsidRPr="006C6575" w14:paraId="686BE68B" w14:textId="77777777" w:rsidTr="006C6575">
        <w:trPr>
          <w:jc w:val="center"/>
        </w:trPr>
        <w:tc>
          <w:tcPr>
            <w:tcW w:w="2268" w:type="dxa"/>
          </w:tcPr>
          <w:p w14:paraId="1B3FDEF2"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Service Operation</w:t>
            </w:r>
          </w:p>
        </w:tc>
        <w:tc>
          <w:tcPr>
            <w:tcW w:w="941" w:type="dxa"/>
            <w:vAlign w:val="center"/>
          </w:tcPr>
          <w:p w14:paraId="7C58A6FA"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0.806</w:t>
            </w:r>
          </w:p>
        </w:tc>
        <w:tc>
          <w:tcPr>
            <w:tcW w:w="1134" w:type="dxa"/>
            <w:vAlign w:val="center"/>
          </w:tcPr>
          <w:p w14:paraId="700AC672"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-0.208</w:t>
            </w:r>
          </w:p>
        </w:tc>
      </w:tr>
      <w:tr w:rsidR="006C6575" w:rsidRPr="006C6575" w14:paraId="603DB9B9" w14:textId="77777777" w:rsidTr="006C6575">
        <w:trPr>
          <w:jc w:val="center"/>
        </w:trPr>
        <w:tc>
          <w:tcPr>
            <w:tcW w:w="2268" w:type="dxa"/>
          </w:tcPr>
          <w:p w14:paraId="0E784854"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Marketing and Sales</w:t>
            </w:r>
          </w:p>
        </w:tc>
        <w:tc>
          <w:tcPr>
            <w:tcW w:w="941" w:type="dxa"/>
            <w:vAlign w:val="center"/>
          </w:tcPr>
          <w:p w14:paraId="377B6C39"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0.745</w:t>
            </w:r>
          </w:p>
        </w:tc>
        <w:tc>
          <w:tcPr>
            <w:tcW w:w="1134" w:type="dxa"/>
            <w:vAlign w:val="center"/>
          </w:tcPr>
          <w:p w14:paraId="14F398E8"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-0.276</w:t>
            </w:r>
          </w:p>
        </w:tc>
      </w:tr>
      <w:tr w:rsidR="006C6575" w:rsidRPr="006C6575" w14:paraId="7F37BE27" w14:textId="77777777" w:rsidTr="006C6575">
        <w:trPr>
          <w:jc w:val="center"/>
        </w:trPr>
        <w:tc>
          <w:tcPr>
            <w:tcW w:w="2268" w:type="dxa"/>
          </w:tcPr>
          <w:p w14:paraId="3B0AC5F3"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Payment Channel</w:t>
            </w:r>
          </w:p>
        </w:tc>
        <w:tc>
          <w:tcPr>
            <w:tcW w:w="941" w:type="dxa"/>
            <w:vAlign w:val="center"/>
          </w:tcPr>
          <w:p w14:paraId="2758C9A7"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0.757</w:t>
            </w:r>
          </w:p>
        </w:tc>
        <w:tc>
          <w:tcPr>
            <w:tcW w:w="1134" w:type="dxa"/>
            <w:vAlign w:val="center"/>
          </w:tcPr>
          <w:p w14:paraId="143CE55C"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-0.153</w:t>
            </w:r>
          </w:p>
        </w:tc>
      </w:tr>
      <w:tr w:rsidR="006C6575" w:rsidRPr="006C6575" w14:paraId="301DCA6F" w14:textId="77777777" w:rsidTr="006C6575">
        <w:trPr>
          <w:jc w:val="center"/>
        </w:trPr>
        <w:tc>
          <w:tcPr>
            <w:tcW w:w="2268" w:type="dxa"/>
          </w:tcPr>
          <w:p w14:paraId="1886E62A"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Platform</w:t>
            </w:r>
          </w:p>
        </w:tc>
        <w:tc>
          <w:tcPr>
            <w:tcW w:w="941" w:type="dxa"/>
            <w:vAlign w:val="center"/>
          </w:tcPr>
          <w:p w14:paraId="0A38A6D0"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0.893</w:t>
            </w:r>
          </w:p>
        </w:tc>
        <w:tc>
          <w:tcPr>
            <w:tcW w:w="1134" w:type="dxa"/>
            <w:vAlign w:val="center"/>
          </w:tcPr>
          <w:p w14:paraId="3A642CF7"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-0.135</w:t>
            </w:r>
          </w:p>
        </w:tc>
      </w:tr>
      <w:tr w:rsidR="006C6575" w:rsidRPr="006C6575" w14:paraId="5B92D35C" w14:textId="77777777" w:rsidTr="006C6575">
        <w:trPr>
          <w:jc w:val="center"/>
        </w:trPr>
        <w:tc>
          <w:tcPr>
            <w:tcW w:w="2268" w:type="dxa"/>
          </w:tcPr>
          <w:p w14:paraId="01EBE1D7"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Product Reviews</w:t>
            </w:r>
          </w:p>
        </w:tc>
        <w:tc>
          <w:tcPr>
            <w:tcW w:w="941" w:type="dxa"/>
            <w:vAlign w:val="center"/>
          </w:tcPr>
          <w:p w14:paraId="51439C98"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0.733</w:t>
            </w:r>
          </w:p>
        </w:tc>
        <w:tc>
          <w:tcPr>
            <w:tcW w:w="1134" w:type="dxa"/>
            <w:vAlign w:val="center"/>
          </w:tcPr>
          <w:p w14:paraId="29DB427F"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-0.227</w:t>
            </w:r>
          </w:p>
        </w:tc>
      </w:tr>
      <w:tr w:rsidR="006C6575" w:rsidRPr="006C6575" w14:paraId="6BBABC5D" w14:textId="77777777" w:rsidTr="006C6575">
        <w:trPr>
          <w:jc w:val="center"/>
        </w:trPr>
        <w:tc>
          <w:tcPr>
            <w:tcW w:w="2268" w:type="dxa"/>
          </w:tcPr>
          <w:p w14:paraId="2AC3465E"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Perceived Risk</w:t>
            </w:r>
          </w:p>
        </w:tc>
        <w:tc>
          <w:tcPr>
            <w:tcW w:w="941" w:type="dxa"/>
            <w:vAlign w:val="center"/>
          </w:tcPr>
          <w:p w14:paraId="206F44BD"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0.632</w:t>
            </w:r>
          </w:p>
        </w:tc>
        <w:tc>
          <w:tcPr>
            <w:tcW w:w="1134" w:type="dxa"/>
            <w:vAlign w:val="center"/>
          </w:tcPr>
          <w:p w14:paraId="67ACD02A"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-0.183</w:t>
            </w:r>
          </w:p>
        </w:tc>
      </w:tr>
      <w:tr w:rsidR="006C6575" w:rsidRPr="006C6575" w14:paraId="2B7A1BAA" w14:textId="77777777" w:rsidTr="006C6575">
        <w:trPr>
          <w:jc w:val="center"/>
        </w:trPr>
        <w:tc>
          <w:tcPr>
            <w:tcW w:w="2268" w:type="dxa"/>
          </w:tcPr>
          <w:p w14:paraId="75D92535"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Information Quality</w:t>
            </w:r>
          </w:p>
        </w:tc>
        <w:tc>
          <w:tcPr>
            <w:tcW w:w="941" w:type="dxa"/>
            <w:vAlign w:val="center"/>
          </w:tcPr>
          <w:p w14:paraId="267551F9"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0.772</w:t>
            </w:r>
          </w:p>
        </w:tc>
        <w:tc>
          <w:tcPr>
            <w:tcW w:w="1134" w:type="dxa"/>
            <w:vAlign w:val="center"/>
          </w:tcPr>
          <w:p w14:paraId="7DD690B3"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-0.068</w:t>
            </w:r>
          </w:p>
        </w:tc>
      </w:tr>
      <w:tr w:rsidR="006C6575" w:rsidRPr="006C6575" w14:paraId="393B7701" w14:textId="77777777" w:rsidTr="006C6575">
        <w:trPr>
          <w:jc w:val="center"/>
        </w:trPr>
        <w:tc>
          <w:tcPr>
            <w:tcW w:w="2268" w:type="dxa"/>
          </w:tcPr>
          <w:p w14:paraId="06840D52"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Technical</w:t>
            </w:r>
          </w:p>
        </w:tc>
        <w:tc>
          <w:tcPr>
            <w:tcW w:w="941" w:type="dxa"/>
            <w:vAlign w:val="center"/>
          </w:tcPr>
          <w:p w14:paraId="12FFBDFC"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0.657</w:t>
            </w:r>
          </w:p>
        </w:tc>
        <w:tc>
          <w:tcPr>
            <w:tcW w:w="1134" w:type="dxa"/>
            <w:vAlign w:val="center"/>
          </w:tcPr>
          <w:p w14:paraId="7828330D"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0.425</w:t>
            </w:r>
          </w:p>
        </w:tc>
      </w:tr>
      <w:tr w:rsidR="006C6575" w:rsidRPr="006C6575" w14:paraId="319064DF" w14:textId="77777777" w:rsidTr="006C6575">
        <w:trPr>
          <w:jc w:val="center"/>
        </w:trPr>
        <w:tc>
          <w:tcPr>
            <w:tcW w:w="2268" w:type="dxa"/>
          </w:tcPr>
          <w:p w14:paraId="39512FD0"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Environmental</w:t>
            </w:r>
          </w:p>
        </w:tc>
        <w:tc>
          <w:tcPr>
            <w:tcW w:w="941" w:type="dxa"/>
            <w:vAlign w:val="center"/>
          </w:tcPr>
          <w:p w14:paraId="7AA41F37"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0.648</w:t>
            </w:r>
          </w:p>
        </w:tc>
        <w:tc>
          <w:tcPr>
            <w:tcW w:w="1134" w:type="dxa"/>
            <w:vAlign w:val="center"/>
          </w:tcPr>
          <w:p w14:paraId="054E8D53"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0.565</w:t>
            </w:r>
          </w:p>
        </w:tc>
      </w:tr>
      <w:tr w:rsidR="006C6575" w:rsidRPr="006C6575" w14:paraId="02313FE2" w14:textId="77777777" w:rsidTr="006C6575">
        <w:trPr>
          <w:jc w:val="center"/>
        </w:trPr>
        <w:tc>
          <w:tcPr>
            <w:tcW w:w="2268" w:type="dxa"/>
          </w:tcPr>
          <w:p w14:paraId="0B7A8FF0"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Organizational</w:t>
            </w:r>
          </w:p>
        </w:tc>
        <w:tc>
          <w:tcPr>
            <w:tcW w:w="941" w:type="dxa"/>
            <w:vAlign w:val="center"/>
          </w:tcPr>
          <w:p w14:paraId="77F0A441"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0.564</w:t>
            </w:r>
          </w:p>
        </w:tc>
        <w:tc>
          <w:tcPr>
            <w:tcW w:w="1134" w:type="dxa"/>
            <w:vAlign w:val="center"/>
          </w:tcPr>
          <w:p w14:paraId="65DA490C"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0.603</w:t>
            </w:r>
          </w:p>
        </w:tc>
      </w:tr>
      <w:tr w:rsidR="006C6575" w:rsidRPr="006C6575" w14:paraId="2394C28D" w14:textId="77777777" w:rsidTr="006C6575">
        <w:trPr>
          <w:jc w:val="center"/>
        </w:trPr>
        <w:tc>
          <w:tcPr>
            <w:tcW w:w="2268" w:type="dxa"/>
          </w:tcPr>
          <w:p w14:paraId="366C7182" w14:textId="77777777" w:rsidR="006C6575" w:rsidRPr="006C6575" w:rsidRDefault="006C6575" w:rsidP="000177A6">
            <w:pPr>
              <w:pStyle w:val="ListParagraph"/>
              <w:ind w:left="0"/>
              <w:rPr>
                <w:rFonts w:ascii="Arial" w:hAnsi="Arial" w:cs="Arial"/>
                <w:sz w:val="20"/>
              </w:rPr>
            </w:pPr>
            <w:r w:rsidRPr="006C6575">
              <w:rPr>
                <w:rFonts w:ascii="Arial" w:hAnsi="Arial" w:cs="Arial"/>
                <w:sz w:val="20"/>
              </w:rPr>
              <w:t>Technology</w:t>
            </w:r>
          </w:p>
        </w:tc>
        <w:tc>
          <w:tcPr>
            <w:tcW w:w="941" w:type="dxa"/>
            <w:vAlign w:val="center"/>
          </w:tcPr>
          <w:p w14:paraId="794B48BD"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0.619</w:t>
            </w:r>
          </w:p>
        </w:tc>
        <w:tc>
          <w:tcPr>
            <w:tcW w:w="1134" w:type="dxa"/>
            <w:vAlign w:val="center"/>
          </w:tcPr>
          <w:p w14:paraId="58327A90"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0.577</w:t>
            </w:r>
          </w:p>
        </w:tc>
      </w:tr>
    </w:tbl>
    <w:p w14:paraId="1F79947D" w14:textId="77777777" w:rsidR="006C6575" w:rsidRPr="006C6575" w:rsidRDefault="006C6575" w:rsidP="00935A6D">
      <w:pPr>
        <w:rPr>
          <w:rFonts w:ascii="Arial" w:eastAsia="Arial" w:hAnsi="Arial" w:cs="Arial"/>
        </w:rPr>
      </w:pPr>
    </w:p>
    <w:p w14:paraId="2B6F5D70" w14:textId="496880EF" w:rsidR="006C6575" w:rsidRDefault="006C6575" w:rsidP="006C6575">
      <w:pPr>
        <w:spacing w:line="360" w:lineRule="auto"/>
        <w:ind w:firstLine="567"/>
        <w:contextualSpacing/>
        <w:jc w:val="both"/>
        <w:rPr>
          <w:rFonts w:ascii="Arial" w:hAnsi="Arial" w:cs="Arial"/>
        </w:rPr>
      </w:pPr>
      <w:r w:rsidRPr="006C6575">
        <w:rPr>
          <w:rFonts w:ascii="Arial" w:hAnsi="Arial" w:cs="Arial"/>
        </w:rPr>
        <w:t>Based on the table above, each formed factor cannot be interpreted clearly, so it is necessary to do a varimax rotation. </w:t>
      </w:r>
      <w:r w:rsidRPr="006C6575">
        <w:rPr>
          <w:rFonts w:ascii="Arial" w:hAnsi="Arial" w:cs="Arial"/>
          <w:i/>
          <w:iCs/>
          <w:color w:val="0E101A"/>
        </w:rPr>
        <w:t>Varimax rotation</w:t>
      </w:r>
      <w:r w:rsidRPr="006C6575">
        <w:rPr>
          <w:rFonts w:ascii="Arial" w:hAnsi="Arial" w:cs="Arial"/>
        </w:rPr>
        <w:t xml:space="preserve"> is an orthogonal rotation to clarify the variables included in certain factors </w:t>
      </w:r>
      <w:r w:rsidRPr="006C6575">
        <w:rPr>
          <w:rFonts w:ascii="Arial" w:hAnsi="Arial" w:cs="Arial"/>
        </w:rPr>
        <w:fldChar w:fldCharType="begin" w:fldLock="1"/>
      </w:r>
      <w:r w:rsidRPr="006C6575">
        <w:rPr>
          <w:rFonts w:ascii="Arial" w:hAnsi="Arial" w:cs="Arial"/>
        </w:rPr>
        <w:instrText>ADDIN CSL_CITATION {"citationItems":[{"id":"ITEM-1","itemData":{"author":[{"dropping-particle":"","family":"Ghozali","given":"Imam","non-dropping-particle":"","parse-names":false,"suffix":""}],"id":"ITEM-1","issued":{"date-parts":[["2018"]]},"publisher":"Badan Penerbit Universitas Diponegoro","publisher-place":"Semarang","title":"Multivariate Analysis Application with IBM SPSS 25 Program","type":"book"},"uris":["http://www.mendeley.com/documents/?uuid=c3307bef-c869-4463-ae90-0eee7b42dfd9","http://www.mendeley.com/documents/?uuid=d63feee5-fbff-471b-9cff-4b466fe4b84e","http://www.mendeley.com/documents/?uuid=ecf4bff1-ee94-4f5d-92ea-61e21d96e9f4"]}],"mendeley":{"formattedCitation":"(Ghozali, 2018)","plainTextFormattedCitation":"(Ghozali, 2018)","previouslyFormattedCitation":"(Ghozali, 2018)"},"properties":{"noteIndex":0},"schema":"https://github.com/citation-style-language/schema/raw/master/csl-citation.json"}</w:instrText>
      </w:r>
      <w:r w:rsidRPr="006C6575">
        <w:rPr>
          <w:rFonts w:ascii="Arial" w:hAnsi="Arial" w:cs="Arial"/>
        </w:rPr>
        <w:fldChar w:fldCharType="separate"/>
      </w:r>
      <w:r w:rsidRPr="006C6575">
        <w:rPr>
          <w:rFonts w:ascii="Arial" w:hAnsi="Arial" w:cs="Arial"/>
          <w:noProof/>
        </w:rPr>
        <w:t>(Ghozali, 2018)</w:t>
      </w:r>
      <w:r w:rsidRPr="006C6575">
        <w:rPr>
          <w:rFonts w:ascii="Arial" w:hAnsi="Arial" w:cs="Arial"/>
        </w:rPr>
        <w:fldChar w:fldCharType="end"/>
      </w:r>
      <w:r w:rsidRPr="006C6575">
        <w:rPr>
          <w:rFonts w:ascii="Arial" w:hAnsi="Arial" w:cs="Arial"/>
        </w:rPr>
        <w:t>. The following is a Component Matrix table that has been rotated using the varimax method.</w:t>
      </w:r>
    </w:p>
    <w:p w14:paraId="49271DA0" w14:textId="7D659BE5" w:rsidR="006C6575" w:rsidRDefault="006C6575" w:rsidP="006C6575">
      <w:pPr>
        <w:spacing w:line="360" w:lineRule="auto"/>
        <w:ind w:firstLine="567"/>
        <w:contextualSpacing/>
        <w:jc w:val="both"/>
        <w:rPr>
          <w:rFonts w:ascii="Arial" w:hAnsi="Arial" w:cs="Arial"/>
        </w:rPr>
      </w:pPr>
    </w:p>
    <w:p w14:paraId="3E1AA125" w14:textId="77777777" w:rsidR="006C6575" w:rsidRPr="006C6575" w:rsidRDefault="006C6575" w:rsidP="006C6575">
      <w:pPr>
        <w:spacing w:line="360" w:lineRule="auto"/>
        <w:ind w:firstLine="567"/>
        <w:contextualSpacing/>
        <w:jc w:val="both"/>
        <w:rPr>
          <w:rFonts w:ascii="Arial" w:hAnsi="Arial" w:cs="Arial"/>
        </w:rPr>
      </w:pPr>
    </w:p>
    <w:p w14:paraId="6A604B61" w14:textId="0326AA72" w:rsidR="006C6575" w:rsidRPr="006C6575" w:rsidRDefault="006C6575" w:rsidP="006C6575">
      <w:pPr>
        <w:pStyle w:val="Caption"/>
        <w:spacing w:after="0" w:line="360" w:lineRule="auto"/>
        <w:contextualSpacing/>
        <w:jc w:val="center"/>
        <w:rPr>
          <w:rFonts w:ascii="Arial" w:hAnsi="Arial" w:cs="Arial"/>
          <w:i/>
          <w:iCs/>
          <w:color w:val="000000" w:themeColor="text1"/>
        </w:rPr>
      </w:pPr>
      <w:bookmarkStart w:id="2" w:name="_Toc156982798"/>
      <w:r w:rsidRPr="006C6575">
        <w:rPr>
          <w:rFonts w:ascii="Arial" w:hAnsi="Arial" w:cs="Arial"/>
          <w:color w:val="000000" w:themeColor="text1"/>
        </w:rPr>
        <w:lastRenderedPageBreak/>
        <w:t>Table</w:t>
      </w:r>
      <w:r>
        <w:rPr>
          <w:rFonts w:ascii="Arial" w:hAnsi="Arial" w:cs="Arial"/>
          <w:color w:val="000000" w:themeColor="text1"/>
        </w:rPr>
        <w:t xml:space="preserve"> 2. </w:t>
      </w:r>
      <w:r w:rsidRPr="006C6575">
        <w:rPr>
          <w:rFonts w:ascii="Arial" w:hAnsi="Arial" w:cs="Arial"/>
          <w:color w:val="000000" w:themeColor="text1"/>
        </w:rPr>
        <w:t>Matrix Rotation Results</w:t>
      </w:r>
      <w:bookmarkEnd w:id="2"/>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941"/>
        <w:gridCol w:w="1134"/>
        <w:gridCol w:w="783"/>
      </w:tblGrid>
      <w:tr w:rsidR="006C6575" w:rsidRPr="006C6575" w14:paraId="05267F9E" w14:textId="77777777" w:rsidTr="006C6575">
        <w:trPr>
          <w:jc w:val="center"/>
        </w:trPr>
        <w:tc>
          <w:tcPr>
            <w:tcW w:w="2268" w:type="dxa"/>
            <w:vMerge w:val="restart"/>
            <w:shd w:val="clear" w:color="auto" w:fill="BFBFBF" w:themeFill="background1" w:themeFillShade="BF"/>
            <w:vAlign w:val="center"/>
          </w:tcPr>
          <w:p w14:paraId="0B38C333" w14:textId="77777777" w:rsidR="006C6575" w:rsidRPr="006C6575" w:rsidRDefault="006C6575" w:rsidP="000177A6">
            <w:pPr>
              <w:pStyle w:val="ListParagraph"/>
              <w:ind w:left="0"/>
              <w:jc w:val="center"/>
              <w:rPr>
                <w:rFonts w:ascii="Arial" w:hAnsi="Arial" w:cs="Arial"/>
                <w:bCs/>
                <w:color w:val="000000" w:themeColor="text1"/>
                <w:sz w:val="20"/>
              </w:rPr>
            </w:pPr>
            <w:r w:rsidRPr="006C6575">
              <w:rPr>
                <w:rFonts w:ascii="Arial" w:hAnsi="Arial" w:cs="Arial"/>
                <w:bCs/>
                <w:color w:val="000000" w:themeColor="text1"/>
                <w:sz w:val="20"/>
              </w:rPr>
              <w:t>Variable</w:t>
            </w:r>
          </w:p>
        </w:tc>
        <w:tc>
          <w:tcPr>
            <w:tcW w:w="2075" w:type="dxa"/>
            <w:gridSpan w:val="2"/>
            <w:shd w:val="clear" w:color="auto" w:fill="BFBFBF" w:themeFill="background1" w:themeFillShade="BF"/>
            <w:vAlign w:val="center"/>
          </w:tcPr>
          <w:p w14:paraId="1BA531C7" w14:textId="77777777" w:rsidR="006C6575" w:rsidRPr="006C6575" w:rsidRDefault="006C6575" w:rsidP="000177A6">
            <w:pPr>
              <w:pStyle w:val="ListParagraph"/>
              <w:ind w:left="0"/>
              <w:jc w:val="center"/>
              <w:rPr>
                <w:rFonts w:ascii="Arial" w:hAnsi="Arial" w:cs="Arial"/>
                <w:bCs/>
                <w:color w:val="000000" w:themeColor="text1"/>
                <w:sz w:val="20"/>
              </w:rPr>
            </w:pPr>
            <w:r w:rsidRPr="006C6575">
              <w:rPr>
                <w:rFonts w:ascii="Arial" w:hAnsi="Arial" w:cs="Arial"/>
                <w:bCs/>
                <w:color w:val="000000" w:themeColor="text1"/>
                <w:sz w:val="20"/>
              </w:rPr>
              <w:t>Component</w:t>
            </w:r>
          </w:p>
        </w:tc>
        <w:tc>
          <w:tcPr>
            <w:tcW w:w="783" w:type="dxa"/>
            <w:vMerge w:val="restart"/>
            <w:shd w:val="clear" w:color="auto" w:fill="BFBFBF" w:themeFill="background1" w:themeFillShade="BF"/>
            <w:vAlign w:val="center"/>
          </w:tcPr>
          <w:p w14:paraId="2B736640" w14:textId="77777777" w:rsidR="006C6575" w:rsidRPr="006C6575" w:rsidRDefault="006C6575" w:rsidP="000177A6">
            <w:pPr>
              <w:pStyle w:val="ListParagraph"/>
              <w:ind w:left="0"/>
              <w:jc w:val="center"/>
              <w:rPr>
                <w:rFonts w:ascii="Arial" w:hAnsi="Arial" w:cs="Arial"/>
                <w:bCs/>
                <w:color w:val="000000" w:themeColor="text1"/>
                <w:sz w:val="20"/>
              </w:rPr>
            </w:pPr>
            <w:r w:rsidRPr="006C6575">
              <w:rPr>
                <w:rFonts w:ascii="Arial" w:hAnsi="Arial" w:cs="Arial"/>
                <w:bCs/>
                <w:color w:val="000000" w:themeColor="text1"/>
                <w:sz w:val="20"/>
              </w:rPr>
              <w:t>Factor</w:t>
            </w:r>
          </w:p>
        </w:tc>
      </w:tr>
      <w:tr w:rsidR="006C6575" w:rsidRPr="006C6575" w14:paraId="1AC255CC" w14:textId="77777777" w:rsidTr="006C6575">
        <w:trPr>
          <w:jc w:val="center"/>
        </w:trPr>
        <w:tc>
          <w:tcPr>
            <w:tcW w:w="2268" w:type="dxa"/>
            <w:vMerge/>
            <w:shd w:val="clear" w:color="auto" w:fill="BFBFBF" w:themeFill="background1" w:themeFillShade="BF"/>
          </w:tcPr>
          <w:p w14:paraId="30FA8620" w14:textId="77777777" w:rsidR="006C6575" w:rsidRPr="006C6575" w:rsidRDefault="006C6575" w:rsidP="000177A6">
            <w:pPr>
              <w:pStyle w:val="ListParagraph"/>
              <w:ind w:left="0"/>
              <w:jc w:val="center"/>
              <w:rPr>
                <w:rFonts w:ascii="Arial" w:hAnsi="Arial" w:cs="Arial"/>
                <w:bCs/>
                <w:color w:val="000000" w:themeColor="text1"/>
                <w:sz w:val="20"/>
              </w:rPr>
            </w:pPr>
          </w:p>
        </w:tc>
        <w:tc>
          <w:tcPr>
            <w:tcW w:w="941" w:type="dxa"/>
            <w:shd w:val="clear" w:color="auto" w:fill="BFBFBF" w:themeFill="background1" w:themeFillShade="BF"/>
            <w:vAlign w:val="center"/>
          </w:tcPr>
          <w:p w14:paraId="15F8362C" w14:textId="77777777" w:rsidR="006C6575" w:rsidRPr="006C6575" w:rsidRDefault="006C6575" w:rsidP="000177A6">
            <w:pPr>
              <w:pStyle w:val="ListParagraph"/>
              <w:ind w:left="0"/>
              <w:jc w:val="center"/>
              <w:rPr>
                <w:rFonts w:ascii="Arial" w:hAnsi="Arial" w:cs="Arial"/>
                <w:bCs/>
                <w:color w:val="000000" w:themeColor="text1"/>
                <w:sz w:val="20"/>
              </w:rPr>
            </w:pPr>
            <w:r w:rsidRPr="006C6575">
              <w:rPr>
                <w:rFonts w:ascii="Arial" w:hAnsi="Arial" w:cs="Arial"/>
                <w:bCs/>
                <w:color w:val="000000" w:themeColor="text1"/>
                <w:sz w:val="20"/>
              </w:rPr>
              <w:t>1</w:t>
            </w:r>
          </w:p>
        </w:tc>
        <w:tc>
          <w:tcPr>
            <w:tcW w:w="1134" w:type="dxa"/>
            <w:shd w:val="clear" w:color="auto" w:fill="BFBFBF" w:themeFill="background1" w:themeFillShade="BF"/>
            <w:vAlign w:val="center"/>
          </w:tcPr>
          <w:p w14:paraId="6E42E077" w14:textId="77777777" w:rsidR="006C6575" w:rsidRPr="006C6575" w:rsidRDefault="006C6575" w:rsidP="000177A6">
            <w:pPr>
              <w:pStyle w:val="ListParagraph"/>
              <w:ind w:left="0"/>
              <w:jc w:val="center"/>
              <w:rPr>
                <w:rFonts w:ascii="Arial" w:hAnsi="Arial" w:cs="Arial"/>
                <w:bCs/>
                <w:color w:val="000000" w:themeColor="text1"/>
                <w:sz w:val="20"/>
              </w:rPr>
            </w:pPr>
            <w:r w:rsidRPr="006C6575">
              <w:rPr>
                <w:rFonts w:ascii="Arial" w:hAnsi="Arial" w:cs="Arial"/>
                <w:bCs/>
                <w:color w:val="000000" w:themeColor="text1"/>
                <w:sz w:val="20"/>
              </w:rPr>
              <w:t>2</w:t>
            </w:r>
          </w:p>
        </w:tc>
        <w:tc>
          <w:tcPr>
            <w:tcW w:w="783" w:type="dxa"/>
            <w:vMerge/>
            <w:shd w:val="clear" w:color="auto" w:fill="BFBFBF" w:themeFill="background1" w:themeFillShade="BF"/>
          </w:tcPr>
          <w:p w14:paraId="16AA3510" w14:textId="77777777" w:rsidR="006C6575" w:rsidRPr="006C6575" w:rsidRDefault="006C6575" w:rsidP="000177A6">
            <w:pPr>
              <w:pStyle w:val="ListParagraph"/>
              <w:ind w:left="0"/>
              <w:jc w:val="center"/>
              <w:rPr>
                <w:rFonts w:ascii="Arial" w:hAnsi="Arial" w:cs="Arial"/>
                <w:bCs/>
                <w:color w:val="000000" w:themeColor="text1"/>
                <w:sz w:val="20"/>
              </w:rPr>
            </w:pPr>
          </w:p>
        </w:tc>
      </w:tr>
      <w:tr w:rsidR="006C6575" w:rsidRPr="006C6575" w14:paraId="0DEC3521" w14:textId="77777777" w:rsidTr="006C6575">
        <w:trPr>
          <w:jc w:val="center"/>
        </w:trPr>
        <w:tc>
          <w:tcPr>
            <w:tcW w:w="2268" w:type="dxa"/>
          </w:tcPr>
          <w:p w14:paraId="2C622251"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Ease of use</w:t>
            </w:r>
          </w:p>
        </w:tc>
        <w:tc>
          <w:tcPr>
            <w:tcW w:w="941" w:type="dxa"/>
            <w:vAlign w:val="center"/>
          </w:tcPr>
          <w:p w14:paraId="4BCB4189"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0.675</w:t>
            </w:r>
          </w:p>
        </w:tc>
        <w:tc>
          <w:tcPr>
            <w:tcW w:w="1134" w:type="dxa"/>
            <w:vAlign w:val="center"/>
          </w:tcPr>
          <w:p w14:paraId="4F9E02E1"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0.197</w:t>
            </w:r>
          </w:p>
        </w:tc>
        <w:tc>
          <w:tcPr>
            <w:tcW w:w="783" w:type="dxa"/>
            <w:vAlign w:val="center"/>
          </w:tcPr>
          <w:p w14:paraId="7BE150F8"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1</w:t>
            </w:r>
          </w:p>
        </w:tc>
      </w:tr>
      <w:tr w:rsidR="006C6575" w:rsidRPr="006C6575" w14:paraId="313A436E" w14:textId="77777777" w:rsidTr="006C6575">
        <w:trPr>
          <w:jc w:val="center"/>
        </w:trPr>
        <w:tc>
          <w:tcPr>
            <w:tcW w:w="2268" w:type="dxa"/>
          </w:tcPr>
          <w:p w14:paraId="39BEF05B"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Trust</w:t>
            </w:r>
          </w:p>
        </w:tc>
        <w:tc>
          <w:tcPr>
            <w:tcW w:w="941" w:type="dxa"/>
            <w:vAlign w:val="center"/>
          </w:tcPr>
          <w:p w14:paraId="6D17A3D4"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0.773</w:t>
            </w:r>
          </w:p>
        </w:tc>
        <w:tc>
          <w:tcPr>
            <w:tcW w:w="1134" w:type="dxa"/>
            <w:vAlign w:val="center"/>
          </w:tcPr>
          <w:p w14:paraId="3EF4F4E0"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0.258</w:t>
            </w:r>
          </w:p>
        </w:tc>
        <w:tc>
          <w:tcPr>
            <w:tcW w:w="783" w:type="dxa"/>
            <w:vAlign w:val="center"/>
          </w:tcPr>
          <w:p w14:paraId="56630EC3"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1</w:t>
            </w:r>
          </w:p>
        </w:tc>
      </w:tr>
      <w:tr w:rsidR="006C6575" w:rsidRPr="006C6575" w14:paraId="70F5938F" w14:textId="77777777" w:rsidTr="006C6575">
        <w:trPr>
          <w:jc w:val="center"/>
        </w:trPr>
        <w:tc>
          <w:tcPr>
            <w:tcW w:w="2268" w:type="dxa"/>
          </w:tcPr>
          <w:p w14:paraId="23399EB7"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Product</w:t>
            </w:r>
          </w:p>
        </w:tc>
        <w:tc>
          <w:tcPr>
            <w:tcW w:w="941" w:type="dxa"/>
            <w:vAlign w:val="center"/>
          </w:tcPr>
          <w:p w14:paraId="748A9E74"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0.727</w:t>
            </w:r>
          </w:p>
        </w:tc>
        <w:tc>
          <w:tcPr>
            <w:tcW w:w="1134" w:type="dxa"/>
            <w:vAlign w:val="center"/>
          </w:tcPr>
          <w:p w14:paraId="04EDCF64"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0.236</w:t>
            </w:r>
          </w:p>
        </w:tc>
        <w:tc>
          <w:tcPr>
            <w:tcW w:w="783" w:type="dxa"/>
            <w:vAlign w:val="center"/>
          </w:tcPr>
          <w:p w14:paraId="3239DD8F"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1</w:t>
            </w:r>
          </w:p>
        </w:tc>
      </w:tr>
      <w:tr w:rsidR="006C6575" w:rsidRPr="006C6575" w14:paraId="746753C0" w14:textId="77777777" w:rsidTr="006C6575">
        <w:trPr>
          <w:jc w:val="center"/>
        </w:trPr>
        <w:tc>
          <w:tcPr>
            <w:tcW w:w="2268" w:type="dxa"/>
          </w:tcPr>
          <w:p w14:paraId="182AC246"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Service Operation</w:t>
            </w:r>
          </w:p>
        </w:tc>
        <w:tc>
          <w:tcPr>
            <w:tcW w:w="941" w:type="dxa"/>
            <w:vAlign w:val="center"/>
          </w:tcPr>
          <w:p w14:paraId="3B6BAB81"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0.796</w:t>
            </w:r>
          </w:p>
        </w:tc>
        <w:tc>
          <w:tcPr>
            <w:tcW w:w="1134" w:type="dxa"/>
            <w:vAlign w:val="center"/>
          </w:tcPr>
          <w:p w14:paraId="2C9F56EC"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0.241</w:t>
            </w:r>
          </w:p>
        </w:tc>
        <w:tc>
          <w:tcPr>
            <w:tcW w:w="783" w:type="dxa"/>
            <w:vAlign w:val="center"/>
          </w:tcPr>
          <w:p w14:paraId="77D65427"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1</w:t>
            </w:r>
          </w:p>
        </w:tc>
      </w:tr>
      <w:tr w:rsidR="006C6575" w:rsidRPr="006C6575" w14:paraId="6DD07EFD" w14:textId="77777777" w:rsidTr="006C6575">
        <w:trPr>
          <w:jc w:val="center"/>
        </w:trPr>
        <w:tc>
          <w:tcPr>
            <w:tcW w:w="2268" w:type="dxa"/>
          </w:tcPr>
          <w:p w14:paraId="3B04E90F"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Marketing and Sales</w:t>
            </w:r>
          </w:p>
        </w:tc>
        <w:tc>
          <w:tcPr>
            <w:tcW w:w="941" w:type="dxa"/>
            <w:vAlign w:val="center"/>
          </w:tcPr>
          <w:p w14:paraId="466DA51D"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0.780</w:t>
            </w:r>
          </w:p>
        </w:tc>
        <w:tc>
          <w:tcPr>
            <w:tcW w:w="1134" w:type="dxa"/>
            <w:vAlign w:val="center"/>
          </w:tcPr>
          <w:p w14:paraId="77641A01"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0.151</w:t>
            </w:r>
          </w:p>
        </w:tc>
        <w:tc>
          <w:tcPr>
            <w:tcW w:w="783" w:type="dxa"/>
            <w:vAlign w:val="center"/>
          </w:tcPr>
          <w:p w14:paraId="56469BB6"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1</w:t>
            </w:r>
          </w:p>
        </w:tc>
      </w:tr>
      <w:tr w:rsidR="006C6575" w:rsidRPr="006C6575" w14:paraId="2C16F1B1" w14:textId="77777777" w:rsidTr="006C6575">
        <w:trPr>
          <w:jc w:val="center"/>
        </w:trPr>
        <w:tc>
          <w:tcPr>
            <w:tcW w:w="2268" w:type="dxa"/>
          </w:tcPr>
          <w:p w14:paraId="72A4A2FF"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Payment Channel</w:t>
            </w:r>
          </w:p>
        </w:tc>
        <w:tc>
          <w:tcPr>
            <w:tcW w:w="941" w:type="dxa"/>
            <w:vAlign w:val="center"/>
          </w:tcPr>
          <w:p w14:paraId="310E10D7"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0.726</w:t>
            </w:r>
          </w:p>
        </w:tc>
        <w:tc>
          <w:tcPr>
            <w:tcW w:w="1134" w:type="dxa"/>
            <w:vAlign w:val="center"/>
          </w:tcPr>
          <w:p w14:paraId="03A8D9DB"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0.262</w:t>
            </w:r>
          </w:p>
        </w:tc>
        <w:tc>
          <w:tcPr>
            <w:tcW w:w="783" w:type="dxa"/>
            <w:vAlign w:val="center"/>
          </w:tcPr>
          <w:p w14:paraId="7FBA608D"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1</w:t>
            </w:r>
          </w:p>
        </w:tc>
      </w:tr>
      <w:tr w:rsidR="006C6575" w:rsidRPr="006C6575" w14:paraId="5B8847EE" w14:textId="77777777" w:rsidTr="006C6575">
        <w:trPr>
          <w:jc w:val="center"/>
        </w:trPr>
        <w:tc>
          <w:tcPr>
            <w:tcW w:w="2268" w:type="dxa"/>
          </w:tcPr>
          <w:p w14:paraId="0742DF82"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Platform</w:t>
            </w:r>
          </w:p>
        </w:tc>
        <w:tc>
          <w:tcPr>
            <w:tcW w:w="941" w:type="dxa"/>
            <w:vAlign w:val="center"/>
          </w:tcPr>
          <w:p w14:paraId="2B85274A"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0.833</w:t>
            </w:r>
          </w:p>
        </w:tc>
        <w:tc>
          <w:tcPr>
            <w:tcW w:w="1134" w:type="dxa"/>
            <w:vAlign w:val="center"/>
          </w:tcPr>
          <w:p w14:paraId="2E410A0A"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0.349</w:t>
            </w:r>
          </w:p>
        </w:tc>
        <w:tc>
          <w:tcPr>
            <w:tcW w:w="783" w:type="dxa"/>
            <w:vAlign w:val="center"/>
          </w:tcPr>
          <w:p w14:paraId="102AF867"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1</w:t>
            </w:r>
          </w:p>
        </w:tc>
      </w:tr>
      <w:tr w:rsidR="006C6575" w:rsidRPr="006C6575" w14:paraId="07E220BC" w14:textId="77777777" w:rsidTr="006C6575">
        <w:trPr>
          <w:jc w:val="center"/>
        </w:trPr>
        <w:tc>
          <w:tcPr>
            <w:tcW w:w="2268" w:type="dxa"/>
          </w:tcPr>
          <w:p w14:paraId="163C5E5D"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Product Reviews</w:t>
            </w:r>
          </w:p>
        </w:tc>
        <w:tc>
          <w:tcPr>
            <w:tcW w:w="941" w:type="dxa"/>
            <w:vAlign w:val="center"/>
          </w:tcPr>
          <w:p w14:paraId="24FCD4A7"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0.744</w:t>
            </w:r>
          </w:p>
        </w:tc>
        <w:tc>
          <w:tcPr>
            <w:tcW w:w="1134" w:type="dxa"/>
            <w:vAlign w:val="center"/>
          </w:tcPr>
          <w:p w14:paraId="1276CD5B"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0.187</w:t>
            </w:r>
          </w:p>
        </w:tc>
        <w:tc>
          <w:tcPr>
            <w:tcW w:w="783" w:type="dxa"/>
            <w:vAlign w:val="center"/>
          </w:tcPr>
          <w:p w14:paraId="72B0E8DB"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1</w:t>
            </w:r>
          </w:p>
        </w:tc>
      </w:tr>
      <w:tr w:rsidR="006C6575" w:rsidRPr="006C6575" w14:paraId="074950D6" w14:textId="77777777" w:rsidTr="006C6575">
        <w:trPr>
          <w:jc w:val="center"/>
        </w:trPr>
        <w:tc>
          <w:tcPr>
            <w:tcW w:w="2268" w:type="dxa"/>
          </w:tcPr>
          <w:p w14:paraId="090E737D"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Perceived Risk</w:t>
            </w:r>
          </w:p>
        </w:tc>
        <w:tc>
          <w:tcPr>
            <w:tcW w:w="941" w:type="dxa"/>
            <w:vAlign w:val="center"/>
          </w:tcPr>
          <w:p w14:paraId="0A7135D1"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0.635</w:t>
            </w:r>
          </w:p>
        </w:tc>
        <w:tc>
          <w:tcPr>
            <w:tcW w:w="1134" w:type="dxa"/>
            <w:vAlign w:val="center"/>
          </w:tcPr>
          <w:p w14:paraId="342A3744"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0.172</w:t>
            </w:r>
          </w:p>
        </w:tc>
        <w:tc>
          <w:tcPr>
            <w:tcW w:w="783" w:type="dxa"/>
            <w:vAlign w:val="center"/>
          </w:tcPr>
          <w:p w14:paraId="52970936"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1</w:t>
            </w:r>
          </w:p>
        </w:tc>
      </w:tr>
      <w:tr w:rsidR="006C6575" w:rsidRPr="006C6575" w14:paraId="25434A64" w14:textId="77777777" w:rsidTr="006C6575">
        <w:trPr>
          <w:jc w:val="center"/>
        </w:trPr>
        <w:tc>
          <w:tcPr>
            <w:tcW w:w="2268" w:type="dxa"/>
          </w:tcPr>
          <w:p w14:paraId="22AECAA8"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Information Quality</w:t>
            </w:r>
          </w:p>
        </w:tc>
        <w:tc>
          <w:tcPr>
            <w:tcW w:w="941" w:type="dxa"/>
            <w:vAlign w:val="center"/>
          </w:tcPr>
          <w:p w14:paraId="26A14941"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0.695</w:t>
            </w:r>
          </w:p>
        </w:tc>
        <w:tc>
          <w:tcPr>
            <w:tcW w:w="1134" w:type="dxa"/>
            <w:vAlign w:val="center"/>
          </w:tcPr>
          <w:p w14:paraId="1483FB43"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0.344</w:t>
            </w:r>
          </w:p>
        </w:tc>
        <w:tc>
          <w:tcPr>
            <w:tcW w:w="783" w:type="dxa"/>
            <w:vAlign w:val="center"/>
          </w:tcPr>
          <w:p w14:paraId="264AF91B"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1</w:t>
            </w:r>
          </w:p>
        </w:tc>
      </w:tr>
      <w:tr w:rsidR="006C6575" w:rsidRPr="006C6575" w14:paraId="376E11FD" w14:textId="77777777" w:rsidTr="006C6575">
        <w:trPr>
          <w:jc w:val="center"/>
        </w:trPr>
        <w:tc>
          <w:tcPr>
            <w:tcW w:w="2268" w:type="dxa"/>
          </w:tcPr>
          <w:p w14:paraId="2189A00B"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Technical</w:t>
            </w:r>
          </w:p>
        </w:tc>
        <w:tc>
          <w:tcPr>
            <w:tcW w:w="941" w:type="dxa"/>
            <w:vAlign w:val="center"/>
          </w:tcPr>
          <w:p w14:paraId="37CD84F0"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0.340</w:t>
            </w:r>
          </w:p>
        </w:tc>
        <w:tc>
          <w:tcPr>
            <w:tcW w:w="1134" w:type="dxa"/>
            <w:vAlign w:val="center"/>
          </w:tcPr>
          <w:p w14:paraId="6271B4D7"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0.704</w:t>
            </w:r>
          </w:p>
        </w:tc>
        <w:tc>
          <w:tcPr>
            <w:tcW w:w="783" w:type="dxa"/>
            <w:vAlign w:val="center"/>
          </w:tcPr>
          <w:p w14:paraId="3F338B26"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2</w:t>
            </w:r>
          </w:p>
        </w:tc>
      </w:tr>
      <w:tr w:rsidR="006C6575" w:rsidRPr="006C6575" w14:paraId="565E5854" w14:textId="77777777" w:rsidTr="006C6575">
        <w:trPr>
          <w:jc w:val="center"/>
        </w:trPr>
        <w:tc>
          <w:tcPr>
            <w:tcW w:w="2268" w:type="dxa"/>
          </w:tcPr>
          <w:p w14:paraId="14B4E0F1"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Environmental</w:t>
            </w:r>
          </w:p>
        </w:tc>
        <w:tc>
          <w:tcPr>
            <w:tcW w:w="941" w:type="dxa"/>
            <w:vAlign w:val="center"/>
          </w:tcPr>
          <w:p w14:paraId="7A2642B5"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0.260</w:t>
            </w:r>
          </w:p>
        </w:tc>
        <w:tc>
          <w:tcPr>
            <w:tcW w:w="1134" w:type="dxa"/>
            <w:vAlign w:val="center"/>
          </w:tcPr>
          <w:p w14:paraId="28DA0CB2"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0.819</w:t>
            </w:r>
          </w:p>
        </w:tc>
        <w:tc>
          <w:tcPr>
            <w:tcW w:w="783" w:type="dxa"/>
            <w:vAlign w:val="center"/>
          </w:tcPr>
          <w:p w14:paraId="5025D4B7"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2</w:t>
            </w:r>
          </w:p>
        </w:tc>
      </w:tr>
      <w:tr w:rsidR="006C6575" w:rsidRPr="006C6575" w14:paraId="49A9DA6C" w14:textId="77777777" w:rsidTr="006C6575">
        <w:trPr>
          <w:jc w:val="center"/>
        </w:trPr>
        <w:tc>
          <w:tcPr>
            <w:tcW w:w="2268" w:type="dxa"/>
          </w:tcPr>
          <w:p w14:paraId="7C6F8546"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Organizational</w:t>
            </w:r>
          </w:p>
        </w:tc>
        <w:tc>
          <w:tcPr>
            <w:tcW w:w="941" w:type="dxa"/>
            <w:vAlign w:val="center"/>
          </w:tcPr>
          <w:p w14:paraId="5D58CACF"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0.168</w:t>
            </w:r>
          </w:p>
        </w:tc>
        <w:tc>
          <w:tcPr>
            <w:tcW w:w="1134" w:type="dxa"/>
            <w:vAlign w:val="center"/>
          </w:tcPr>
          <w:p w14:paraId="3269551F"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0.809</w:t>
            </w:r>
          </w:p>
        </w:tc>
        <w:tc>
          <w:tcPr>
            <w:tcW w:w="783" w:type="dxa"/>
            <w:vAlign w:val="center"/>
          </w:tcPr>
          <w:p w14:paraId="0DF34BA6"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2</w:t>
            </w:r>
          </w:p>
        </w:tc>
      </w:tr>
      <w:tr w:rsidR="006C6575" w:rsidRPr="006C6575" w14:paraId="2B0DA09F" w14:textId="77777777" w:rsidTr="006C6575">
        <w:trPr>
          <w:jc w:val="center"/>
        </w:trPr>
        <w:tc>
          <w:tcPr>
            <w:tcW w:w="2268" w:type="dxa"/>
          </w:tcPr>
          <w:p w14:paraId="142D4724"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Technology</w:t>
            </w:r>
          </w:p>
        </w:tc>
        <w:tc>
          <w:tcPr>
            <w:tcW w:w="941" w:type="dxa"/>
            <w:vAlign w:val="center"/>
          </w:tcPr>
          <w:p w14:paraId="280EE4C1"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0.228</w:t>
            </w:r>
          </w:p>
        </w:tc>
        <w:tc>
          <w:tcPr>
            <w:tcW w:w="1134" w:type="dxa"/>
            <w:vAlign w:val="center"/>
          </w:tcPr>
          <w:p w14:paraId="5E6A8E30"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0.815</w:t>
            </w:r>
          </w:p>
        </w:tc>
        <w:tc>
          <w:tcPr>
            <w:tcW w:w="783" w:type="dxa"/>
            <w:vAlign w:val="center"/>
          </w:tcPr>
          <w:p w14:paraId="38DDAB9E"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2</w:t>
            </w:r>
          </w:p>
        </w:tc>
      </w:tr>
    </w:tbl>
    <w:p w14:paraId="2DB46869" w14:textId="77777777" w:rsidR="006C6575" w:rsidRDefault="006C6575" w:rsidP="006C6575">
      <w:pPr>
        <w:contextualSpacing/>
        <w:rPr>
          <w:rFonts w:ascii="Arial" w:hAnsi="Arial" w:cs="Arial"/>
          <w:b/>
          <w:bCs/>
          <w:sz w:val="22"/>
          <w:szCs w:val="22"/>
        </w:rPr>
      </w:pPr>
      <w:bookmarkStart w:id="3" w:name="_Toc157068538"/>
    </w:p>
    <w:p w14:paraId="60DD3E51" w14:textId="08EAAB25" w:rsidR="006C6575" w:rsidRPr="006C6575" w:rsidRDefault="006C6575" w:rsidP="006C6575">
      <w:pPr>
        <w:contextualSpacing/>
        <w:rPr>
          <w:rFonts w:ascii="Arial" w:hAnsi="Arial" w:cs="Arial"/>
          <w:sz w:val="22"/>
          <w:szCs w:val="22"/>
        </w:rPr>
      </w:pPr>
      <w:r w:rsidRPr="006C6575">
        <w:rPr>
          <w:rFonts w:ascii="Arial" w:hAnsi="Arial" w:cs="Arial"/>
          <w:b/>
          <w:bCs/>
          <w:sz w:val="22"/>
          <w:szCs w:val="22"/>
        </w:rPr>
        <w:t>Interpretation of Formed Factors</w:t>
      </w:r>
      <w:bookmarkEnd w:id="3"/>
    </w:p>
    <w:p w14:paraId="1EBB7EE3" w14:textId="6742DD76" w:rsidR="006C6575" w:rsidRDefault="006C6575" w:rsidP="006C6575">
      <w:pPr>
        <w:contextualSpacing/>
        <w:rPr>
          <w:rFonts w:ascii="Arial" w:hAnsi="Arial" w:cs="Arial"/>
        </w:rPr>
      </w:pPr>
      <w:r w:rsidRPr="006C6575">
        <w:rPr>
          <w:rFonts w:ascii="Arial" w:hAnsi="Arial" w:cs="Arial"/>
        </w:rPr>
        <w:t>Two factors are formed based on the factor analysis results, which can then be interpreted or named according to the variables formed in these factors</w:t>
      </w:r>
      <w:r>
        <w:rPr>
          <w:rFonts w:ascii="Arial" w:hAnsi="Arial" w:cs="Arial"/>
        </w:rPr>
        <w:t>.</w:t>
      </w:r>
    </w:p>
    <w:p w14:paraId="1EEB9026" w14:textId="0695DEE2" w:rsidR="006C6575" w:rsidRPr="006C6575" w:rsidRDefault="006C6575" w:rsidP="006C6575">
      <w:pPr>
        <w:pStyle w:val="Caption"/>
        <w:spacing w:line="360" w:lineRule="auto"/>
        <w:jc w:val="center"/>
        <w:rPr>
          <w:rFonts w:ascii="Arial" w:hAnsi="Arial" w:cs="Arial"/>
          <w:b w:val="0"/>
          <w:bCs w:val="0"/>
          <w:i/>
          <w:iCs/>
          <w:color w:val="000000" w:themeColor="text1"/>
        </w:rPr>
      </w:pPr>
      <w:bookmarkStart w:id="4" w:name="_Toc156982799"/>
      <w:r w:rsidRPr="006C6575">
        <w:rPr>
          <w:rFonts w:ascii="Arial" w:hAnsi="Arial" w:cs="Arial"/>
          <w:color w:val="000000" w:themeColor="text1"/>
        </w:rPr>
        <w:t>Table</w:t>
      </w:r>
      <w:r>
        <w:rPr>
          <w:rFonts w:ascii="Arial" w:hAnsi="Arial" w:cs="Arial"/>
          <w:color w:val="000000" w:themeColor="text1"/>
        </w:rPr>
        <w:t xml:space="preserve"> 3. </w:t>
      </w:r>
      <w:r w:rsidRPr="006C6575">
        <w:rPr>
          <w:rFonts w:ascii="Arial" w:hAnsi="Arial" w:cs="Arial"/>
          <w:color w:val="000000" w:themeColor="text1"/>
        </w:rPr>
        <w:t>Factor Interpretation</w:t>
      </w:r>
      <w:bookmarkEnd w:id="4"/>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984"/>
      </w:tblGrid>
      <w:tr w:rsidR="006C6575" w:rsidRPr="006C6575" w14:paraId="535CB038" w14:textId="77777777" w:rsidTr="006C6575">
        <w:trPr>
          <w:jc w:val="center"/>
        </w:trPr>
        <w:tc>
          <w:tcPr>
            <w:tcW w:w="2268" w:type="dxa"/>
            <w:shd w:val="clear" w:color="auto" w:fill="BFBFBF" w:themeFill="background1" w:themeFillShade="BF"/>
            <w:vAlign w:val="center"/>
          </w:tcPr>
          <w:p w14:paraId="4E05D0B4" w14:textId="77777777" w:rsidR="006C6575" w:rsidRPr="006C6575" w:rsidRDefault="006C6575" w:rsidP="000177A6">
            <w:pPr>
              <w:pStyle w:val="ListParagraph"/>
              <w:ind w:left="0"/>
              <w:jc w:val="center"/>
              <w:rPr>
                <w:rFonts w:ascii="Arial" w:hAnsi="Arial" w:cs="Arial"/>
                <w:bCs/>
                <w:color w:val="000000" w:themeColor="text1"/>
                <w:sz w:val="20"/>
              </w:rPr>
            </w:pPr>
            <w:r w:rsidRPr="006C6575">
              <w:rPr>
                <w:rFonts w:ascii="Arial" w:hAnsi="Arial" w:cs="Arial"/>
                <w:bCs/>
                <w:color w:val="000000" w:themeColor="text1"/>
                <w:sz w:val="20"/>
              </w:rPr>
              <w:t>Variable</w:t>
            </w:r>
          </w:p>
        </w:tc>
        <w:tc>
          <w:tcPr>
            <w:tcW w:w="1418" w:type="dxa"/>
            <w:shd w:val="clear" w:color="auto" w:fill="BFBFBF" w:themeFill="background1" w:themeFillShade="BF"/>
            <w:vAlign w:val="center"/>
          </w:tcPr>
          <w:p w14:paraId="50246D7F" w14:textId="77777777" w:rsidR="006C6575" w:rsidRPr="006C6575" w:rsidRDefault="006C6575" w:rsidP="000177A6">
            <w:pPr>
              <w:pStyle w:val="ListParagraph"/>
              <w:ind w:left="0"/>
              <w:jc w:val="center"/>
              <w:rPr>
                <w:rFonts w:ascii="Arial" w:hAnsi="Arial" w:cs="Arial"/>
                <w:bCs/>
                <w:color w:val="000000" w:themeColor="text1"/>
                <w:sz w:val="20"/>
              </w:rPr>
            </w:pPr>
            <w:r w:rsidRPr="006C6575">
              <w:rPr>
                <w:rFonts w:ascii="Arial" w:hAnsi="Arial" w:cs="Arial"/>
                <w:bCs/>
                <w:color w:val="000000" w:themeColor="text1"/>
                <w:sz w:val="20"/>
              </w:rPr>
              <w:t>Loading Factor Value</w:t>
            </w:r>
          </w:p>
        </w:tc>
        <w:tc>
          <w:tcPr>
            <w:tcW w:w="1984" w:type="dxa"/>
            <w:shd w:val="clear" w:color="auto" w:fill="BFBFBF" w:themeFill="background1" w:themeFillShade="BF"/>
            <w:vAlign w:val="center"/>
          </w:tcPr>
          <w:p w14:paraId="20896E64" w14:textId="77777777" w:rsidR="006C6575" w:rsidRPr="006C6575" w:rsidRDefault="006C6575" w:rsidP="000177A6">
            <w:pPr>
              <w:pStyle w:val="ListParagraph"/>
              <w:ind w:left="0"/>
              <w:jc w:val="center"/>
              <w:rPr>
                <w:rFonts w:ascii="Arial" w:hAnsi="Arial" w:cs="Arial"/>
                <w:bCs/>
                <w:color w:val="000000" w:themeColor="text1"/>
                <w:sz w:val="20"/>
              </w:rPr>
            </w:pPr>
            <w:r w:rsidRPr="006C6575">
              <w:rPr>
                <w:rFonts w:ascii="Arial" w:hAnsi="Arial" w:cs="Arial"/>
                <w:bCs/>
                <w:color w:val="000000" w:themeColor="text1"/>
                <w:sz w:val="20"/>
              </w:rPr>
              <w:t>Factor</w:t>
            </w:r>
          </w:p>
        </w:tc>
      </w:tr>
      <w:tr w:rsidR="006C6575" w:rsidRPr="006C6575" w14:paraId="7FC27E2A" w14:textId="77777777" w:rsidTr="006C6575">
        <w:trPr>
          <w:trHeight w:val="276"/>
          <w:jc w:val="center"/>
        </w:trPr>
        <w:tc>
          <w:tcPr>
            <w:tcW w:w="2268" w:type="dxa"/>
          </w:tcPr>
          <w:p w14:paraId="25E12F89"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Ease of use</w:t>
            </w:r>
          </w:p>
        </w:tc>
        <w:tc>
          <w:tcPr>
            <w:tcW w:w="1418" w:type="dxa"/>
            <w:vAlign w:val="center"/>
          </w:tcPr>
          <w:p w14:paraId="4AE9506B"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0.675</w:t>
            </w:r>
          </w:p>
        </w:tc>
        <w:tc>
          <w:tcPr>
            <w:tcW w:w="1984" w:type="dxa"/>
            <w:vMerge w:val="restart"/>
            <w:vAlign w:val="center"/>
          </w:tcPr>
          <w:p w14:paraId="73BEF4CE" w14:textId="77777777" w:rsidR="006C6575" w:rsidRPr="006C6575" w:rsidRDefault="006C6575" w:rsidP="000177A6">
            <w:pPr>
              <w:pStyle w:val="ListParagraph"/>
              <w:ind w:left="0"/>
              <w:jc w:val="both"/>
              <w:rPr>
                <w:rFonts w:ascii="Arial" w:hAnsi="Arial" w:cs="Arial"/>
                <w:bCs/>
                <w:color w:val="000000" w:themeColor="text1"/>
                <w:sz w:val="20"/>
              </w:rPr>
            </w:pPr>
            <w:r w:rsidRPr="006C6575">
              <w:rPr>
                <w:rFonts w:ascii="Arial" w:hAnsi="Arial" w:cs="Arial"/>
                <w:bCs/>
                <w:color w:val="000000" w:themeColor="text1"/>
                <w:sz w:val="20"/>
              </w:rPr>
              <w:t>Product &amp; Service Quality</w:t>
            </w:r>
          </w:p>
        </w:tc>
      </w:tr>
      <w:tr w:rsidR="006C6575" w:rsidRPr="006C6575" w14:paraId="4D22AB2C" w14:textId="77777777" w:rsidTr="006C6575">
        <w:trPr>
          <w:trHeight w:val="276"/>
          <w:jc w:val="center"/>
        </w:trPr>
        <w:tc>
          <w:tcPr>
            <w:tcW w:w="2268" w:type="dxa"/>
          </w:tcPr>
          <w:p w14:paraId="636F10DC"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Trust</w:t>
            </w:r>
          </w:p>
        </w:tc>
        <w:tc>
          <w:tcPr>
            <w:tcW w:w="1418" w:type="dxa"/>
            <w:vAlign w:val="center"/>
          </w:tcPr>
          <w:p w14:paraId="36E6AEA6"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0.773</w:t>
            </w:r>
          </w:p>
        </w:tc>
        <w:tc>
          <w:tcPr>
            <w:tcW w:w="1984" w:type="dxa"/>
            <w:vMerge/>
            <w:vAlign w:val="center"/>
          </w:tcPr>
          <w:p w14:paraId="4AC6F144" w14:textId="77777777" w:rsidR="006C6575" w:rsidRPr="006C6575" w:rsidRDefault="006C6575" w:rsidP="000177A6">
            <w:pPr>
              <w:pStyle w:val="ListParagraph"/>
              <w:ind w:left="0"/>
              <w:jc w:val="both"/>
              <w:rPr>
                <w:rFonts w:ascii="Arial" w:hAnsi="Arial" w:cs="Arial"/>
                <w:bCs/>
                <w:color w:val="000000" w:themeColor="text1"/>
                <w:sz w:val="20"/>
              </w:rPr>
            </w:pPr>
          </w:p>
        </w:tc>
      </w:tr>
      <w:tr w:rsidR="006C6575" w:rsidRPr="006C6575" w14:paraId="0C075EDC" w14:textId="77777777" w:rsidTr="006C6575">
        <w:trPr>
          <w:trHeight w:val="276"/>
          <w:jc w:val="center"/>
        </w:trPr>
        <w:tc>
          <w:tcPr>
            <w:tcW w:w="2268" w:type="dxa"/>
          </w:tcPr>
          <w:p w14:paraId="460D9F49"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Product</w:t>
            </w:r>
          </w:p>
        </w:tc>
        <w:tc>
          <w:tcPr>
            <w:tcW w:w="1418" w:type="dxa"/>
            <w:vAlign w:val="center"/>
          </w:tcPr>
          <w:p w14:paraId="13A4875E"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0.727</w:t>
            </w:r>
          </w:p>
        </w:tc>
        <w:tc>
          <w:tcPr>
            <w:tcW w:w="1984" w:type="dxa"/>
            <w:vMerge/>
            <w:vAlign w:val="center"/>
          </w:tcPr>
          <w:p w14:paraId="29E9DE71" w14:textId="77777777" w:rsidR="006C6575" w:rsidRPr="006C6575" w:rsidRDefault="006C6575" w:rsidP="000177A6">
            <w:pPr>
              <w:pStyle w:val="ListParagraph"/>
              <w:ind w:left="0"/>
              <w:jc w:val="both"/>
              <w:rPr>
                <w:rFonts w:ascii="Arial" w:hAnsi="Arial" w:cs="Arial"/>
                <w:bCs/>
                <w:color w:val="000000" w:themeColor="text1"/>
                <w:sz w:val="20"/>
              </w:rPr>
            </w:pPr>
          </w:p>
        </w:tc>
      </w:tr>
      <w:tr w:rsidR="006C6575" w:rsidRPr="006C6575" w14:paraId="140F89E0" w14:textId="77777777" w:rsidTr="006C6575">
        <w:trPr>
          <w:trHeight w:val="276"/>
          <w:jc w:val="center"/>
        </w:trPr>
        <w:tc>
          <w:tcPr>
            <w:tcW w:w="2268" w:type="dxa"/>
          </w:tcPr>
          <w:p w14:paraId="11CECE2E"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Service Operation</w:t>
            </w:r>
          </w:p>
        </w:tc>
        <w:tc>
          <w:tcPr>
            <w:tcW w:w="1418" w:type="dxa"/>
            <w:vAlign w:val="center"/>
          </w:tcPr>
          <w:p w14:paraId="45C86D4A"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0.796</w:t>
            </w:r>
          </w:p>
        </w:tc>
        <w:tc>
          <w:tcPr>
            <w:tcW w:w="1984" w:type="dxa"/>
            <w:vMerge/>
            <w:vAlign w:val="center"/>
          </w:tcPr>
          <w:p w14:paraId="35157AAA" w14:textId="77777777" w:rsidR="006C6575" w:rsidRPr="006C6575" w:rsidRDefault="006C6575" w:rsidP="000177A6">
            <w:pPr>
              <w:pStyle w:val="ListParagraph"/>
              <w:ind w:left="0"/>
              <w:jc w:val="both"/>
              <w:rPr>
                <w:rFonts w:ascii="Arial" w:hAnsi="Arial" w:cs="Arial"/>
                <w:bCs/>
                <w:color w:val="000000" w:themeColor="text1"/>
                <w:sz w:val="20"/>
              </w:rPr>
            </w:pPr>
          </w:p>
        </w:tc>
      </w:tr>
      <w:tr w:rsidR="006C6575" w:rsidRPr="006C6575" w14:paraId="0FE3C915" w14:textId="77777777" w:rsidTr="006C6575">
        <w:trPr>
          <w:trHeight w:val="276"/>
          <w:jc w:val="center"/>
        </w:trPr>
        <w:tc>
          <w:tcPr>
            <w:tcW w:w="2268" w:type="dxa"/>
          </w:tcPr>
          <w:p w14:paraId="3329201B"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Marketing and Sales</w:t>
            </w:r>
          </w:p>
        </w:tc>
        <w:tc>
          <w:tcPr>
            <w:tcW w:w="1418" w:type="dxa"/>
            <w:vAlign w:val="center"/>
          </w:tcPr>
          <w:p w14:paraId="4BC17B75"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0.780</w:t>
            </w:r>
          </w:p>
        </w:tc>
        <w:tc>
          <w:tcPr>
            <w:tcW w:w="1984" w:type="dxa"/>
            <w:vMerge/>
            <w:vAlign w:val="center"/>
          </w:tcPr>
          <w:p w14:paraId="58AA1490" w14:textId="77777777" w:rsidR="006C6575" w:rsidRPr="006C6575" w:rsidRDefault="006C6575" w:rsidP="000177A6">
            <w:pPr>
              <w:pStyle w:val="ListParagraph"/>
              <w:ind w:left="0"/>
              <w:jc w:val="both"/>
              <w:rPr>
                <w:rFonts w:ascii="Arial" w:hAnsi="Arial" w:cs="Arial"/>
                <w:bCs/>
                <w:color w:val="000000" w:themeColor="text1"/>
                <w:sz w:val="20"/>
              </w:rPr>
            </w:pPr>
          </w:p>
        </w:tc>
      </w:tr>
      <w:tr w:rsidR="006C6575" w:rsidRPr="006C6575" w14:paraId="2287E074" w14:textId="77777777" w:rsidTr="006C6575">
        <w:trPr>
          <w:trHeight w:val="276"/>
          <w:jc w:val="center"/>
        </w:trPr>
        <w:tc>
          <w:tcPr>
            <w:tcW w:w="2268" w:type="dxa"/>
          </w:tcPr>
          <w:p w14:paraId="30A5EC44"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Payment Channel</w:t>
            </w:r>
          </w:p>
        </w:tc>
        <w:tc>
          <w:tcPr>
            <w:tcW w:w="1418" w:type="dxa"/>
            <w:vAlign w:val="center"/>
          </w:tcPr>
          <w:p w14:paraId="6865CB09"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0.726</w:t>
            </w:r>
          </w:p>
        </w:tc>
        <w:tc>
          <w:tcPr>
            <w:tcW w:w="1984" w:type="dxa"/>
            <w:vMerge/>
            <w:vAlign w:val="center"/>
          </w:tcPr>
          <w:p w14:paraId="242B0C69" w14:textId="77777777" w:rsidR="006C6575" w:rsidRPr="006C6575" w:rsidRDefault="006C6575" w:rsidP="000177A6">
            <w:pPr>
              <w:pStyle w:val="ListParagraph"/>
              <w:ind w:left="0"/>
              <w:jc w:val="both"/>
              <w:rPr>
                <w:rFonts w:ascii="Arial" w:hAnsi="Arial" w:cs="Arial"/>
                <w:bCs/>
                <w:color w:val="000000" w:themeColor="text1"/>
                <w:sz w:val="20"/>
              </w:rPr>
            </w:pPr>
          </w:p>
        </w:tc>
      </w:tr>
      <w:tr w:rsidR="006C6575" w:rsidRPr="006C6575" w14:paraId="5228653C" w14:textId="77777777" w:rsidTr="006C6575">
        <w:trPr>
          <w:trHeight w:val="276"/>
          <w:jc w:val="center"/>
        </w:trPr>
        <w:tc>
          <w:tcPr>
            <w:tcW w:w="2268" w:type="dxa"/>
          </w:tcPr>
          <w:p w14:paraId="51BA807B"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Platform</w:t>
            </w:r>
          </w:p>
        </w:tc>
        <w:tc>
          <w:tcPr>
            <w:tcW w:w="1418" w:type="dxa"/>
            <w:vAlign w:val="center"/>
          </w:tcPr>
          <w:p w14:paraId="7ADFCD51"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0.833</w:t>
            </w:r>
          </w:p>
        </w:tc>
        <w:tc>
          <w:tcPr>
            <w:tcW w:w="1984" w:type="dxa"/>
            <w:vMerge/>
            <w:vAlign w:val="center"/>
          </w:tcPr>
          <w:p w14:paraId="76D48612" w14:textId="77777777" w:rsidR="006C6575" w:rsidRPr="006C6575" w:rsidRDefault="006C6575" w:rsidP="000177A6">
            <w:pPr>
              <w:pStyle w:val="ListParagraph"/>
              <w:ind w:left="0"/>
              <w:jc w:val="both"/>
              <w:rPr>
                <w:rFonts w:ascii="Arial" w:hAnsi="Arial" w:cs="Arial"/>
                <w:bCs/>
                <w:color w:val="000000" w:themeColor="text1"/>
                <w:sz w:val="20"/>
              </w:rPr>
            </w:pPr>
          </w:p>
        </w:tc>
      </w:tr>
      <w:tr w:rsidR="006C6575" w:rsidRPr="006C6575" w14:paraId="49FC45E6" w14:textId="77777777" w:rsidTr="006C6575">
        <w:trPr>
          <w:trHeight w:val="276"/>
          <w:jc w:val="center"/>
        </w:trPr>
        <w:tc>
          <w:tcPr>
            <w:tcW w:w="2268" w:type="dxa"/>
          </w:tcPr>
          <w:p w14:paraId="72C0A302"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Product Reviews</w:t>
            </w:r>
          </w:p>
        </w:tc>
        <w:tc>
          <w:tcPr>
            <w:tcW w:w="1418" w:type="dxa"/>
            <w:vAlign w:val="center"/>
          </w:tcPr>
          <w:p w14:paraId="633A795D"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0.744</w:t>
            </w:r>
          </w:p>
        </w:tc>
        <w:tc>
          <w:tcPr>
            <w:tcW w:w="1984" w:type="dxa"/>
            <w:vMerge/>
            <w:vAlign w:val="center"/>
          </w:tcPr>
          <w:p w14:paraId="554EC584" w14:textId="77777777" w:rsidR="006C6575" w:rsidRPr="006C6575" w:rsidRDefault="006C6575" w:rsidP="000177A6">
            <w:pPr>
              <w:pStyle w:val="ListParagraph"/>
              <w:ind w:left="0"/>
              <w:jc w:val="both"/>
              <w:rPr>
                <w:rFonts w:ascii="Arial" w:hAnsi="Arial" w:cs="Arial"/>
                <w:bCs/>
                <w:color w:val="000000" w:themeColor="text1"/>
                <w:sz w:val="20"/>
              </w:rPr>
            </w:pPr>
          </w:p>
        </w:tc>
      </w:tr>
      <w:tr w:rsidR="006C6575" w:rsidRPr="006C6575" w14:paraId="60BFFA85" w14:textId="77777777" w:rsidTr="006C6575">
        <w:trPr>
          <w:trHeight w:val="276"/>
          <w:jc w:val="center"/>
        </w:trPr>
        <w:tc>
          <w:tcPr>
            <w:tcW w:w="2268" w:type="dxa"/>
          </w:tcPr>
          <w:p w14:paraId="6E126670"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Perceived Risk</w:t>
            </w:r>
          </w:p>
        </w:tc>
        <w:tc>
          <w:tcPr>
            <w:tcW w:w="1418" w:type="dxa"/>
            <w:vAlign w:val="center"/>
          </w:tcPr>
          <w:p w14:paraId="52F0C761"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0.635</w:t>
            </w:r>
          </w:p>
        </w:tc>
        <w:tc>
          <w:tcPr>
            <w:tcW w:w="1984" w:type="dxa"/>
            <w:vMerge/>
            <w:vAlign w:val="center"/>
          </w:tcPr>
          <w:p w14:paraId="7A1DB544" w14:textId="77777777" w:rsidR="006C6575" w:rsidRPr="006C6575" w:rsidRDefault="006C6575" w:rsidP="000177A6">
            <w:pPr>
              <w:pStyle w:val="ListParagraph"/>
              <w:ind w:left="0"/>
              <w:jc w:val="both"/>
              <w:rPr>
                <w:rFonts w:ascii="Arial" w:hAnsi="Arial" w:cs="Arial"/>
                <w:bCs/>
                <w:color w:val="000000" w:themeColor="text1"/>
                <w:sz w:val="20"/>
              </w:rPr>
            </w:pPr>
          </w:p>
        </w:tc>
      </w:tr>
      <w:tr w:rsidR="006C6575" w:rsidRPr="006C6575" w14:paraId="493684F2" w14:textId="77777777" w:rsidTr="006C6575">
        <w:trPr>
          <w:trHeight w:val="276"/>
          <w:jc w:val="center"/>
        </w:trPr>
        <w:tc>
          <w:tcPr>
            <w:tcW w:w="2268" w:type="dxa"/>
          </w:tcPr>
          <w:p w14:paraId="3FFAB43B"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Information Quality</w:t>
            </w:r>
          </w:p>
        </w:tc>
        <w:tc>
          <w:tcPr>
            <w:tcW w:w="1418" w:type="dxa"/>
            <w:vAlign w:val="center"/>
          </w:tcPr>
          <w:p w14:paraId="0FE11533"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0.695</w:t>
            </w:r>
          </w:p>
        </w:tc>
        <w:tc>
          <w:tcPr>
            <w:tcW w:w="1984" w:type="dxa"/>
            <w:vMerge/>
            <w:vAlign w:val="center"/>
          </w:tcPr>
          <w:p w14:paraId="48F7103B" w14:textId="77777777" w:rsidR="006C6575" w:rsidRPr="006C6575" w:rsidRDefault="006C6575" w:rsidP="000177A6">
            <w:pPr>
              <w:pStyle w:val="ListParagraph"/>
              <w:ind w:left="0"/>
              <w:jc w:val="both"/>
              <w:rPr>
                <w:rFonts w:ascii="Arial" w:hAnsi="Arial" w:cs="Arial"/>
                <w:bCs/>
                <w:color w:val="000000" w:themeColor="text1"/>
                <w:sz w:val="20"/>
              </w:rPr>
            </w:pPr>
          </w:p>
        </w:tc>
      </w:tr>
      <w:tr w:rsidR="006C6575" w:rsidRPr="006C6575" w14:paraId="74603C00" w14:textId="77777777" w:rsidTr="006C6575">
        <w:trPr>
          <w:jc w:val="center"/>
        </w:trPr>
        <w:tc>
          <w:tcPr>
            <w:tcW w:w="2268" w:type="dxa"/>
          </w:tcPr>
          <w:p w14:paraId="4B9705C4"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Technical</w:t>
            </w:r>
          </w:p>
        </w:tc>
        <w:tc>
          <w:tcPr>
            <w:tcW w:w="1418" w:type="dxa"/>
            <w:vAlign w:val="center"/>
          </w:tcPr>
          <w:p w14:paraId="7BC4FF79"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0.704</w:t>
            </w:r>
          </w:p>
        </w:tc>
        <w:tc>
          <w:tcPr>
            <w:tcW w:w="1984" w:type="dxa"/>
            <w:vMerge w:val="restart"/>
            <w:vAlign w:val="center"/>
          </w:tcPr>
          <w:p w14:paraId="4F89CBE7" w14:textId="77777777" w:rsidR="006C6575" w:rsidRPr="006C6575" w:rsidRDefault="006C6575" w:rsidP="000177A6">
            <w:pPr>
              <w:pStyle w:val="ListParagraph"/>
              <w:ind w:left="0"/>
              <w:jc w:val="both"/>
              <w:rPr>
                <w:rFonts w:ascii="Arial" w:hAnsi="Arial" w:cs="Arial"/>
                <w:bCs/>
                <w:color w:val="000000" w:themeColor="text1"/>
                <w:sz w:val="20"/>
              </w:rPr>
            </w:pPr>
            <w:r w:rsidRPr="006C6575">
              <w:rPr>
                <w:rFonts w:ascii="Arial" w:hAnsi="Arial" w:cs="Arial"/>
                <w:bCs/>
                <w:color w:val="000000" w:themeColor="text1"/>
                <w:sz w:val="20"/>
              </w:rPr>
              <w:t>System and Organizational Quality</w:t>
            </w:r>
          </w:p>
        </w:tc>
      </w:tr>
      <w:tr w:rsidR="006C6575" w:rsidRPr="006C6575" w14:paraId="1223F4EA" w14:textId="77777777" w:rsidTr="006C6575">
        <w:trPr>
          <w:jc w:val="center"/>
        </w:trPr>
        <w:tc>
          <w:tcPr>
            <w:tcW w:w="2268" w:type="dxa"/>
          </w:tcPr>
          <w:p w14:paraId="2AEAB919"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Environmental</w:t>
            </w:r>
          </w:p>
        </w:tc>
        <w:tc>
          <w:tcPr>
            <w:tcW w:w="1418" w:type="dxa"/>
            <w:vAlign w:val="center"/>
          </w:tcPr>
          <w:p w14:paraId="09CBB98B"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0.819</w:t>
            </w:r>
          </w:p>
        </w:tc>
        <w:tc>
          <w:tcPr>
            <w:tcW w:w="1984" w:type="dxa"/>
            <w:vMerge/>
          </w:tcPr>
          <w:p w14:paraId="6799CB95" w14:textId="77777777" w:rsidR="006C6575" w:rsidRPr="006C6575" w:rsidRDefault="006C6575" w:rsidP="000177A6">
            <w:pPr>
              <w:pStyle w:val="ListParagraph"/>
              <w:ind w:left="0"/>
              <w:jc w:val="center"/>
              <w:rPr>
                <w:rFonts w:ascii="Arial" w:hAnsi="Arial" w:cs="Arial"/>
                <w:bCs/>
                <w:color w:val="000000" w:themeColor="text1"/>
                <w:sz w:val="20"/>
              </w:rPr>
            </w:pPr>
          </w:p>
        </w:tc>
      </w:tr>
      <w:tr w:rsidR="006C6575" w:rsidRPr="006C6575" w14:paraId="7D99BA47" w14:textId="77777777" w:rsidTr="006C6575">
        <w:trPr>
          <w:jc w:val="center"/>
        </w:trPr>
        <w:tc>
          <w:tcPr>
            <w:tcW w:w="2268" w:type="dxa"/>
          </w:tcPr>
          <w:p w14:paraId="08776A10"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Organizational</w:t>
            </w:r>
          </w:p>
        </w:tc>
        <w:tc>
          <w:tcPr>
            <w:tcW w:w="1418" w:type="dxa"/>
            <w:vAlign w:val="center"/>
          </w:tcPr>
          <w:p w14:paraId="682C8C00"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0.809</w:t>
            </w:r>
          </w:p>
        </w:tc>
        <w:tc>
          <w:tcPr>
            <w:tcW w:w="1984" w:type="dxa"/>
            <w:vMerge/>
          </w:tcPr>
          <w:p w14:paraId="1003D1F1" w14:textId="77777777" w:rsidR="006C6575" w:rsidRPr="006C6575" w:rsidRDefault="006C6575" w:rsidP="000177A6">
            <w:pPr>
              <w:pStyle w:val="ListParagraph"/>
              <w:ind w:left="0"/>
              <w:jc w:val="center"/>
              <w:rPr>
                <w:rFonts w:ascii="Arial" w:hAnsi="Arial" w:cs="Arial"/>
                <w:bCs/>
                <w:color w:val="000000" w:themeColor="text1"/>
                <w:sz w:val="20"/>
              </w:rPr>
            </w:pPr>
          </w:p>
        </w:tc>
      </w:tr>
      <w:tr w:rsidR="006C6575" w:rsidRPr="006C6575" w14:paraId="274332F7" w14:textId="77777777" w:rsidTr="006C6575">
        <w:trPr>
          <w:jc w:val="center"/>
        </w:trPr>
        <w:tc>
          <w:tcPr>
            <w:tcW w:w="2268" w:type="dxa"/>
          </w:tcPr>
          <w:p w14:paraId="0D8C2AAF" w14:textId="77777777" w:rsidR="006C6575" w:rsidRPr="006C6575" w:rsidRDefault="006C6575" w:rsidP="000177A6">
            <w:pPr>
              <w:pStyle w:val="ListParagraph"/>
              <w:ind w:left="0"/>
              <w:jc w:val="both"/>
              <w:rPr>
                <w:rFonts w:ascii="Arial" w:hAnsi="Arial" w:cs="Arial"/>
                <w:sz w:val="20"/>
              </w:rPr>
            </w:pPr>
            <w:r w:rsidRPr="006C6575">
              <w:rPr>
                <w:rFonts w:ascii="Arial" w:hAnsi="Arial" w:cs="Arial"/>
                <w:sz w:val="20"/>
              </w:rPr>
              <w:t>Technology</w:t>
            </w:r>
          </w:p>
        </w:tc>
        <w:tc>
          <w:tcPr>
            <w:tcW w:w="1418" w:type="dxa"/>
            <w:vAlign w:val="center"/>
          </w:tcPr>
          <w:p w14:paraId="554E3CD6" w14:textId="77777777" w:rsidR="006C6575" w:rsidRPr="006C6575" w:rsidRDefault="006C6575" w:rsidP="000177A6">
            <w:pPr>
              <w:ind w:left="60" w:right="60"/>
              <w:contextualSpacing/>
              <w:jc w:val="center"/>
              <w:rPr>
                <w:rFonts w:ascii="Arial" w:hAnsi="Arial" w:cs="Arial"/>
                <w:color w:val="010205"/>
              </w:rPr>
            </w:pPr>
            <w:r w:rsidRPr="006C6575">
              <w:rPr>
                <w:rFonts w:ascii="Arial" w:hAnsi="Arial" w:cs="Arial"/>
                <w:color w:val="010205"/>
              </w:rPr>
              <w:t>0.815</w:t>
            </w:r>
          </w:p>
        </w:tc>
        <w:tc>
          <w:tcPr>
            <w:tcW w:w="1984" w:type="dxa"/>
            <w:vMerge/>
          </w:tcPr>
          <w:p w14:paraId="3580BF99" w14:textId="77777777" w:rsidR="006C6575" w:rsidRPr="006C6575" w:rsidRDefault="006C6575" w:rsidP="000177A6">
            <w:pPr>
              <w:pStyle w:val="ListParagraph"/>
              <w:ind w:left="0"/>
              <w:jc w:val="center"/>
              <w:rPr>
                <w:rFonts w:ascii="Arial" w:hAnsi="Arial" w:cs="Arial"/>
                <w:bCs/>
                <w:color w:val="000000" w:themeColor="text1"/>
                <w:sz w:val="20"/>
              </w:rPr>
            </w:pPr>
          </w:p>
        </w:tc>
      </w:tr>
    </w:tbl>
    <w:p w14:paraId="0B36EFAE" w14:textId="77777777" w:rsidR="006C6575" w:rsidRPr="006C6575" w:rsidRDefault="006C6575" w:rsidP="006C6575">
      <w:pPr>
        <w:contextualSpacing/>
        <w:rPr>
          <w:rFonts w:ascii="Arial" w:eastAsia="Arial" w:hAnsi="Arial" w:cs="Arial"/>
          <w:b/>
        </w:rPr>
      </w:pPr>
    </w:p>
    <w:p w14:paraId="7910DDE9" w14:textId="489910CF" w:rsidR="006C6575" w:rsidRDefault="006C6575" w:rsidP="006C6575">
      <w:pPr>
        <w:contextualSpacing/>
        <w:jc w:val="both"/>
        <w:rPr>
          <w:rFonts w:ascii="Arial" w:hAnsi="Arial" w:cs="Arial"/>
        </w:rPr>
      </w:pPr>
      <w:r w:rsidRPr="006C6575">
        <w:rPr>
          <w:rFonts w:ascii="Arial" w:hAnsi="Arial" w:cs="Arial"/>
        </w:rPr>
        <w:t>Factor 1, which consists of the variables ease of use, trust, product, service operation, marketing and sales, payment channel, platform, product reviews, perceived risk, and information quality, is named the Product and Service Quality Factor. In contrast, factor 2 comprises technical, environmental, organizational, and technological variables named System and Organizational Quality Factors</w:t>
      </w:r>
      <w:r>
        <w:rPr>
          <w:rFonts w:ascii="Arial" w:hAnsi="Arial" w:cs="Arial"/>
        </w:rPr>
        <w:t>.</w:t>
      </w:r>
    </w:p>
    <w:p w14:paraId="3326B4CF" w14:textId="6EF33A58" w:rsidR="006C6575" w:rsidRDefault="006C6575" w:rsidP="006C6575">
      <w:pPr>
        <w:contextualSpacing/>
        <w:jc w:val="both"/>
        <w:rPr>
          <w:rFonts w:ascii="Arial" w:hAnsi="Arial" w:cs="Arial"/>
        </w:rPr>
      </w:pPr>
    </w:p>
    <w:p w14:paraId="0412374F" w14:textId="0C3F48A6" w:rsidR="006C6575" w:rsidRDefault="006C6575" w:rsidP="006C6575">
      <w:pPr>
        <w:contextualSpacing/>
        <w:jc w:val="both"/>
        <w:rPr>
          <w:rFonts w:ascii="Arial" w:hAnsi="Arial" w:cs="Arial"/>
        </w:rPr>
      </w:pPr>
    </w:p>
    <w:p w14:paraId="72D2C55E" w14:textId="673E0F7A" w:rsidR="009B19CD" w:rsidRDefault="009B19CD" w:rsidP="006C6575">
      <w:pPr>
        <w:contextualSpacing/>
        <w:jc w:val="both"/>
        <w:rPr>
          <w:rFonts w:ascii="Arial" w:hAnsi="Arial" w:cs="Arial"/>
        </w:rPr>
      </w:pPr>
      <w:r w:rsidRPr="009B19CD">
        <w:rPr>
          <w:rFonts w:ascii="Arial" w:hAnsi="Arial" w:cs="Arial"/>
          <w:noProof/>
          <w:lang w:val="en-US"/>
        </w:rPr>
        <w:lastRenderedPageBreak/>
        <w:drawing>
          <wp:inline distT="0" distB="0" distL="0" distR="0" wp14:anchorId="52E4BB39" wp14:editId="776E2202">
            <wp:extent cx="5732145" cy="3193415"/>
            <wp:effectExtent l="0" t="0" r="0" b="0"/>
            <wp:docPr id="8" name="Picture 7" descr="A diagram of a product quality&#10;&#10;Description automatically generated">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74F0092-76AD-2B29-F21D-0AF68562E8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diagram of a product quality&#10;&#10;Description automatically generated">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74F0092-76AD-2B29-F21D-0AF68562E8F2}"/>
                        </a:ext>
                      </a:extLst>
                    </pic:cNvPr>
                    <pic:cNvPicPr>
                      <a:picLocks noChangeAspect="1"/>
                    </pic:cNvPicPr>
                  </pic:nvPicPr>
                  <pic:blipFill rotWithShape="1">
                    <a:blip r:embed="rId13"/>
                    <a:srcRect l="4450" t="3870" r="12637" b="35000"/>
                    <a:stretch/>
                  </pic:blipFill>
                  <pic:spPr>
                    <a:xfrm>
                      <a:off x="0" y="0"/>
                      <a:ext cx="5732145" cy="3193415"/>
                    </a:xfrm>
                    <a:prstGeom prst="rect">
                      <a:avLst/>
                    </a:prstGeom>
                  </pic:spPr>
                </pic:pic>
              </a:graphicData>
            </a:graphic>
          </wp:inline>
        </w:drawing>
      </w:r>
    </w:p>
    <w:p w14:paraId="6D72AD1C" w14:textId="77777777" w:rsidR="009B19CD" w:rsidRDefault="009B19CD" w:rsidP="009B19CD">
      <w:pPr>
        <w:contextualSpacing/>
        <w:jc w:val="center"/>
        <w:rPr>
          <w:rFonts w:ascii="Arial" w:hAnsi="Arial" w:cs="Arial"/>
          <w:b/>
          <w:bCs/>
          <w:lang w:val="en-US"/>
        </w:rPr>
      </w:pPr>
    </w:p>
    <w:p w14:paraId="47EAB16D" w14:textId="1F93355B" w:rsidR="009B19CD" w:rsidRPr="009B19CD" w:rsidRDefault="009B19CD" w:rsidP="009B19CD">
      <w:pPr>
        <w:contextualSpacing/>
        <w:jc w:val="center"/>
        <w:rPr>
          <w:rFonts w:ascii="Arial" w:hAnsi="Arial" w:cs="Arial"/>
          <w:b/>
          <w:bCs/>
          <w:lang w:val="en-ID"/>
        </w:rPr>
      </w:pPr>
      <w:r w:rsidRPr="009B19CD">
        <w:rPr>
          <w:rFonts w:ascii="Arial" w:hAnsi="Arial" w:cs="Arial"/>
          <w:b/>
          <w:bCs/>
          <w:lang w:val="en-US"/>
        </w:rPr>
        <w:t>Figure 1. Proposed models selection e-Marketplace</w:t>
      </w:r>
      <w:r w:rsidRPr="009B19CD">
        <w:rPr>
          <w:rFonts w:ascii="Arial" w:hAnsi="Arial" w:cs="Arial"/>
          <w:b/>
          <w:bCs/>
          <w:lang w:val="en-ID"/>
        </w:rPr>
        <w:t xml:space="preserve"> </w:t>
      </w:r>
      <w:r w:rsidRPr="009B19CD">
        <w:rPr>
          <w:rFonts w:ascii="Arial" w:hAnsi="Arial" w:cs="Arial"/>
          <w:b/>
          <w:bCs/>
        </w:rPr>
        <w:t>from the seller's perspective</w:t>
      </w:r>
    </w:p>
    <w:p w14:paraId="37599710" w14:textId="03050035" w:rsidR="009B19CD" w:rsidRDefault="009B19CD" w:rsidP="006C6575">
      <w:pPr>
        <w:contextualSpacing/>
        <w:jc w:val="both"/>
        <w:rPr>
          <w:rFonts w:ascii="Arial" w:hAnsi="Arial" w:cs="Arial"/>
        </w:rPr>
      </w:pPr>
    </w:p>
    <w:p w14:paraId="71E597FD" w14:textId="0DC4E3E6" w:rsidR="009B19CD" w:rsidRPr="009B19CD" w:rsidRDefault="009B19CD" w:rsidP="006C6575">
      <w:pPr>
        <w:contextualSpacing/>
        <w:jc w:val="both"/>
        <w:rPr>
          <w:rFonts w:ascii="Arial" w:hAnsi="Arial" w:cs="Arial"/>
          <w:b/>
          <w:bCs/>
          <w:sz w:val="22"/>
          <w:szCs w:val="22"/>
        </w:rPr>
      </w:pPr>
      <w:r w:rsidRPr="009B19CD">
        <w:rPr>
          <w:rFonts w:ascii="Arial" w:hAnsi="Arial" w:cs="Arial"/>
          <w:b/>
          <w:bCs/>
          <w:sz w:val="22"/>
          <w:szCs w:val="22"/>
        </w:rPr>
        <w:t>Binary Logistics Model in E-Marketplace</w:t>
      </w:r>
    </w:p>
    <w:p w14:paraId="5567AB2C" w14:textId="0BCA232F" w:rsidR="009B19CD" w:rsidRPr="0008356A" w:rsidRDefault="009B19CD" w:rsidP="006C6575">
      <w:pPr>
        <w:contextualSpacing/>
        <w:jc w:val="both"/>
        <w:rPr>
          <w:rFonts w:ascii="Arial" w:hAnsi="Arial" w:cs="Arial"/>
        </w:rPr>
      </w:pPr>
      <w:r w:rsidRPr="0008356A">
        <w:rPr>
          <w:rFonts w:ascii="Arial" w:hAnsi="Arial" w:cs="Arial"/>
        </w:rPr>
        <w:t>The binary logistic regression model aims to determine the factors influencing the selection of e-marketplaces in Indonesia. The dependent variable, i.e., e-marketplace encoded with 1, is Tokopedia, and 0 is another e-marketplace. The e-marketplaces used in this study are influenced by ease of use, trust, product, service operation, marketing and sales, payment channel, platform, product reviews, perceived risk, information quality, technical, environmental, organizational, and technology.</w:t>
      </w:r>
      <w:r w:rsidR="00776007" w:rsidRPr="0008356A">
        <w:rPr>
          <w:rFonts w:ascii="Arial" w:hAnsi="Arial" w:cs="Arial"/>
        </w:rPr>
        <w:t xml:space="preserve"> The first stage that must be carried out is the detection of multicollinearity. The assumption that must be met in binary logistic regression is no multicollinearity. This detection can be done by looking at the Variance Inflation Factors (VIF) value. If the value of VIF is greater than 10, then there is multicollinearity in the variable. Here are the results of multicollinearity.</w:t>
      </w:r>
    </w:p>
    <w:p w14:paraId="64B47878" w14:textId="77777777" w:rsidR="00776007" w:rsidRDefault="00776007" w:rsidP="006C6575">
      <w:pPr>
        <w:contextualSpacing/>
        <w:jc w:val="both"/>
      </w:pPr>
    </w:p>
    <w:p w14:paraId="4C2D956C" w14:textId="12529911" w:rsidR="00776007" w:rsidRPr="0008356A" w:rsidRDefault="00776007" w:rsidP="00776007">
      <w:pPr>
        <w:contextualSpacing/>
        <w:jc w:val="center"/>
        <w:rPr>
          <w:rFonts w:ascii="Arial" w:hAnsi="Arial" w:cs="Arial"/>
          <w:b/>
          <w:bCs/>
          <w:color w:val="000000" w:themeColor="text1"/>
        </w:rPr>
      </w:pPr>
      <w:r w:rsidRPr="0008356A">
        <w:rPr>
          <w:rFonts w:ascii="Arial" w:hAnsi="Arial" w:cs="Arial"/>
          <w:b/>
          <w:bCs/>
          <w:color w:val="000000" w:themeColor="text1"/>
        </w:rPr>
        <w:t xml:space="preserve">Table 4. </w:t>
      </w:r>
      <w:r w:rsidRPr="0008356A">
        <w:rPr>
          <w:rFonts w:ascii="Arial" w:hAnsi="Arial" w:cs="Arial"/>
          <w:b/>
          <w:bCs/>
          <w:lang w:val="en-US"/>
        </w:rPr>
        <w:t>Results of multicollinearity test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tblGrid>
      <w:tr w:rsidR="00776007" w:rsidRPr="00776007" w14:paraId="09F382A6" w14:textId="77777777" w:rsidTr="00776007">
        <w:trPr>
          <w:jc w:val="center"/>
        </w:trPr>
        <w:tc>
          <w:tcPr>
            <w:tcW w:w="3005" w:type="dxa"/>
            <w:shd w:val="clear" w:color="auto" w:fill="BFBFBF" w:themeFill="background1" w:themeFillShade="BF"/>
          </w:tcPr>
          <w:p w14:paraId="230A94DD"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Variable</w:t>
            </w:r>
          </w:p>
        </w:tc>
        <w:tc>
          <w:tcPr>
            <w:tcW w:w="3005" w:type="dxa"/>
            <w:shd w:val="clear" w:color="auto" w:fill="BFBFBF" w:themeFill="background1" w:themeFillShade="BF"/>
          </w:tcPr>
          <w:p w14:paraId="67FDAD70"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VIF</w:t>
            </w:r>
          </w:p>
        </w:tc>
      </w:tr>
      <w:tr w:rsidR="00776007" w:rsidRPr="00776007" w14:paraId="1E06E081" w14:textId="77777777" w:rsidTr="00776007">
        <w:trPr>
          <w:jc w:val="center"/>
        </w:trPr>
        <w:tc>
          <w:tcPr>
            <w:tcW w:w="3005" w:type="dxa"/>
          </w:tcPr>
          <w:p w14:paraId="5DE7CF6D"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X1.1</w:t>
            </w:r>
          </w:p>
        </w:tc>
        <w:tc>
          <w:tcPr>
            <w:tcW w:w="3005" w:type="dxa"/>
          </w:tcPr>
          <w:p w14:paraId="210D807C"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1.577979</w:t>
            </w:r>
          </w:p>
        </w:tc>
      </w:tr>
      <w:tr w:rsidR="00776007" w:rsidRPr="00776007" w14:paraId="66CE171A" w14:textId="77777777" w:rsidTr="00776007">
        <w:trPr>
          <w:jc w:val="center"/>
        </w:trPr>
        <w:tc>
          <w:tcPr>
            <w:tcW w:w="3005" w:type="dxa"/>
          </w:tcPr>
          <w:p w14:paraId="08DF64F9"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X1.2</w:t>
            </w:r>
          </w:p>
        </w:tc>
        <w:tc>
          <w:tcPr>
            <w:tcW w:w="3005" w:type="dxa"/>
          </w:tcPr>
          <w:p w14:paraId="7D314918"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2.487781</w:t>
            </w:r>
          </w:p>
        </w:tc>
      </w:tr>
      <w:tr w:rsidR="00776007" w:rsidRPr="00776007" w14:paraId="6CF7AEC1" w14:textId="77777777" w:rsidTr="00776007">
        <w:trPr>
          <w:jc w:val="center"/>
        </w:trPr>
        <w:tc>
          <w:tcPr>
            <w:tcW w:w="3005" w:type="dxa"/>
          </w:tcPr>
          <w:p w14:paraId="0B59242E"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X1.3</w:t>
            </w:r>
          </w:p>
        </w:tc>
        <w:tc>
          <w:tcPr>
            <w:tcW w:w="3005" w:type="dxa"/>
          </w:tcPr>
          <w:p w14:paraId="75CDA31E"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2.551722</w:t>
            </w:r>
          </w:p>
        </w:tc>
      </w:tr>
      <w:tr w:rsidR="00776007" w:rsidRPr="00776007" w14:paraId="77C8B012" w14:textId="77777777" w:rsidTr="00776007">
        <w:trPr>
          <w:jc w:val="center"/>
        </w:trPr>
        <w:tc>
          <w:tcPr>
            <w:tcW w:w="3005" w:type="dxa"/>
          </w:tcPr>
          <w:p w14:paraId="74F821DD"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X1.4</w:t>
            </w:r>
          </w:p>
        </w:tc>
        <w:tc>
          <w:tcPr>
            <w:tcW w:w="3005" w:type="dxa"/>
          </w:tcPr>
          <w:p w14:paraId="6E380FF2"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2.745715</w:t>
            </w:r>
          </w:p>
        </w:tc>
      </w:tr>
      <w:tr w:rsidR="00776007" w:rsidRPr="00776007" w14:paraId="0A2615E4" w14:textId="77777777" w:rsidTr="00776007">
        <w:trPr>
          <w:jc w:val="center"/>
        </w:trPr>
        <w:tc>
          <w:tcPr>
            <w:tcW w:w="3005" w:type="dxa"/>
          </w:tcPr>
          <w:p w14:paraId="691797CD"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X1.5</w:t>
            </w:r>
          </w:p>
        </w:tc>
        <w:tc>
          <w:tcPr>
            <w:tcW w:w="3005" w:type="dxa"/>
          </w:tcPr>
          <w:p w14:paraId="492777A7"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2.373742</w:t>
            </w:r>
          </w:p>
        </w:tc>
      </w:tr>
      <w:tr w:rsidR="00776007" w:rsidRPr="00776007" w14:paraId="1B33D616" w14:textId="77777777" w:rsidTr="00776007">
        <w:trPr>
          <w:jc w:val="center"/>
        </w:trPr>
        <w:tc>
          <w:tcPr>
            <w:tcW w:w="3005" w:type="dxa"/>
          </w:tcPr>
          <w:p w14:paraId="72228598"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X1.6</w:t>
            </w:r>
          </w:p>
        </w:tc>
        <w:tc>
          <w:tcPr>
            <w:tcW w:w="3005" w:type="dxa"/>
          </w:tcPr>
          <w:p w14:paraId="316C1A25"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2.933881</w:t>
            </w:r>
          </w:p>
        </w:tc>
      </w:tr>
      <w:tr w:rsidR="00776007" w:rsidRPr="00776007" w14:paraId="79F3ACC2" w14:textId="77777777" w:rsidTr="00776007">
        <w:trPr>
          <w:jc w:val="center"/>
        </w:trPr>
        <w:tc>
          <w:tcPr>
            <w:tcW w:w="3005" w:type="dxa"/>
          </w:tcPr>
          <w:p w14:paraId="2EA8B8E6"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X1.7</w:t>
            </w:r>
          </w:p>
        </w:tc>
        <w:tc>
          <w:tcPr>
            <w:tcW w:w="3005" w:type="dxa"/>
          </w:tcPr>
          <w:p w14:paraId="19CA1E28"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5.285871</w:t>
            </w:r>
          </w:p>
        </w:tc>
      </w:tr>
      <w:tr w:rsidR="00776007" w:rsidRPr="00776007" w14:paraId="79EC6BAC" w14:textId="77777777" w:rsidTr="00776007">
        <w:trPr>
          <w:jc w:val="center"/>
        </w:trPr>
        <w:tc>
          <w:tcPr>
            <w:tcW w:w="3005" w:type="dxa"/>
          </w:tcPr>
          <w:p w14:paraId="14379294"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X1.8</w:t>
            </w:r>
          </w:p>
        </w:tc>
        <w:tc>
          <w:tcPr>
            <w:tcW w:w="3005" w:type="dxa"/>
          </w:tcPr>
          <w:p w14:paraId="32FEF43C"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2.589472</w:t>
            </w:r>
          </w:p>
        </w:tc>
      </w:tr>
      <w:tr w:rsidR="00776007" w:rsidRPr="00776007" w14:paraId="4540228A" w14:textId="77777777" w:rsidTr="00776007">
        <w:trPr>
          <w:jc w:val="center"/>
        </w:trPr>
        <w:tc>
          <w:tcPr>
            <w:tcW w:w="3005" w:type="dxa"/>
          </w:tcPr>
          <w:p w14:paraId="7DEBA96E"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X1.9</w:t>
            </w:r>
          </w:p>
        </w:tc>
        <w:tc>
          <w:tcPr>
            <w:tcW w:w="3005" w:type="dxa"/>
          </w:tcPr>
          <w:p w14:paraId="54CFDC38"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1.524198</w:t>
            </w:r>
          </w:p>
        </w:tc>
      </w:tr>
      <w:tr w:rsidR="00776007" w:rsidRPr="00776007" w14:paraId="79B7D1D5" w14:textId="77777777" w:rsidTr="00776007">
        <w:trPr>
          <w:jc w:val="center"/>
        </w:trPr>
        <w:tc>
          <w:tcPr>
            <w:tcW w:w="3005" w:type="dxa"/>
          </w:tcPr>
          <w:p w14:paraId="4879EBF0"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X1.10</w:t>
            </w:r>
          </w:p>
        </w:tc>
        <w:tc>
          <w:tcPr>
            <w:tcW w:w="3005" w:type="dxa"/>
          </w:tcPr>
          <w:p w14:paraId="085D2DEF"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2.535275</w:t>
            </w:r>
          </w:p>
        </w:tc>
      </w:tr>
      <w:tr w:rsidR="00776007" w:rsidRPr="00776007" w14:paraId="6586A6F3" w14:textId="77777777" w:rsidTr="00776007">
        <w:trPr>
          <w:jc w:val="center"/>
        </w:trPr>
        <w:tc>
          <w:tcPr>
            <w:tcW w:w="3005" w:type="dxa"/>
          </w:tcPr>
          <w:p w14:paraId="1BF9D86F"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X2.1</w:t>
            </w:r>
          </w:p>
        </w:tc>
        <w:tc>
          <w:tcPr>
            <w:tcW w:w="3005" w:type="dxa"/>
          </w:tcPr>
          <w:p w14:paraId="5AF0DE22"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2.260333</w:t>
            </w:r>
          </w:p>
        </w:tc>
      </w:tr>
      <w:tr w:rsidR="00776007" w:rsidRPr="00776007" w14:paraId="3ED134A7" w14:textId="77777777" w:rsidTr="00776007">
        <w:trPr>
          <w:jc w:val="center"/>
        </w:trPr>
        <w:tc>
          <w:tcPr>
            <w:tcW w:w="3005" w:type="dxa"/>
          </w:tcPr>
          <w:p w14:paraId="79BFA7FE"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X2.2</w:t>
            </w:r>
          </w:p>
        </w:tc>
        <w:tc>
          <w:tcPr>
            <w:tcW w:w="3005" w:type="dxa"/>
          </w:tcPr>
          <w:p w14:paraId="489CB4CF"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2.247196</w:t>
            </w:r>
          </w:p>
        </w:tc>
      </w:tr>
      <w:tr w:rsidR="00776007" w:rsidRPr="00776007" w14:paraId="4CA533F0" w14:textId="77777777" w:rsidTr="00776007">
        <w:trPr>
          <w:jc w:val="center"/>
        </w:trPr>
        <w:tc>
          <w:tcPr>
            <w:tcW w:w="3005" w:type="dxa"/>
          </w:tcPr>
          <w:p w14:paraId="7ADDC122"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X2.3</w:t>
            </w:r>
          </w:p>
        </w:tc>
        <w:tc>
          <w:tcPr>
            <w:tcW w:w="3005" w:type="dxa"/>
          </w:tcPr>
          <w:p w14:paraId="284726B8"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1.849407</w:t>
            </w:r>
          </w:p>
        </w:tc>
      </w:tr>
      <w:tr w:rsidR="00776007" w:rsidRPr="00776007" w14:paraId="54A8E6D8" w14:textId="77777777" w:rsidTr="00776007">
        <w:trPr>
          <w:jc w:val="center"/>
        </w:trPr>
        <w:tc>
          <w:tcPr>
            <w:tcW w:w="3005" w:type="dxa"/>
          </w:tcPr>
          <w:p w14:paraId="78C668E2"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X2.4</w:t>
            </w:r>
          </w:p>
        </w:tc>
        <w:tc>
          <w:tcPr>
            <w:tcW w:w="3005" w:type="dxa"/>
          </w:tcPr>
          <w:p w14:paraId="6EB2991D" w14:textId="77777777" w:rsidR="00776007" w:rsidRPr="00776007" w:rsidRDefault="00776007" w:rsidP="000177A6">
            <w:pPr>
              <w:jc w:val="center"/>
              <w:rPr>
                <w:rFonts w:ascii="Arial" w:hAnsi="Arial" w:cs="Arial"/>
                <w:sz w:val="18"/>
                <w:szCs w:val="18"/>
              </w:rPr>
            </w:pPr>
            <w:r w:rsidRPr="00776007">
              <w:rPr>
                <w:rFonts w:ascii="Arial" w:hAnsi="Arial" w:cs="Arial"/>
                <w:sz w:val="18"/>
                <w:szCs w:val="18"/>
              </w:rPr>
              <w:t>2.256512</w:t>
            </w:r>
          </w:p>
        </w:tc>
      </w:tr>
    </w:tbl>
    <w:p w14:paraId="6C235897" w14:textId="77777777" w:rsidR="00776007" w:rsidRDefault="00776007" w:rsidP="006C6575">
      <w:pPr>
        <w:contextualSpacing/>
        <w:jc w:val="both"/>
      </w:pPr>
    </w:p>
    <w:p w14:paraId="2C01B0EC" w14:textId="458C5C8E" w:rsidR="009B19CD" w:rsidRDefault="009B19CD" w:rsidP="006C6575">
      <w:pPr>
        <w:contextualSpacing/>
        <w:jc w:val="both"/>
      </w:pPr>
    </w:p>
    <w:p w14:paraId="34C77BE5" w14:textId="63E8BE88" w:rsidR="0008356A" w:rsidRDefault="0008356A" w:rsidP="006C6575">
      <w:pPr>
        <w:contextualSpacing/>
        <w:jc w:val="both"/>
      </w:pPr>
    </w:p>
    <w:p w14:paraId="72E2460A" w14:textId="6DA5D747" w:rsidR="0008356A" w:rsidRDefault="0008356A" w:rsidP="006C6575">
      <w:pPr>
        <w:contextualSpacing/>
        <w:jc w:val="both"/>
      </w:pPr>
    </w:p>
    <w:p w14:paraId="0E40C37F" w14:textId="6598869F" w:rsidR="0008356A" w:rsidRDefault="0008356A" w:rsidP="006C6575">
      <w:pPr>
        <w:contextualSpacing/>
        <w:jc w:val="both"/>
      </w:pPr>
    </w:p>
    <w:p w14:paraId="27717767" w14:textId="77777777" w:rsidR="0008356A" w:rsidRDefault="0008356A" w:rsidP="006C6575">
      <w:pPr>
        <w:contextualSpacing/>
        <w:jc w:val="both"/>
      </w:pPr>
    </w:p>
    <w:p w14:paraId="2F4F170A" w14:textId="23FE92A6" w:rsidR="009B19CD" w:rsidRPr="0008356A" w:rsidRDefault="00776007" w:rsidP="00776007">
      <w:pPr>
        <w:contextualSpacing/>
        <w:jc w:val="center"/>
        <w:rPr>
          <w:rFonts w:ascii="Arial" w:hAnsi="Arial" w:cs="Arial"/>
          <w:b/>
          <w:bCs/>
        </w:rPr>
      </w:pPr>
      <w:r w:rsidRPr="0008356A">
        <w:rPr>
          <w:rFonts w:ascii="Arial" w:hAnsi="Arial" w:cs="Arial"/>
          <w:b/>
          <w:bCs/>
          <w:color w:val="000000" w:themeColor="text1"/>
        </w:rPr>
        <w:lastRenderedPageBreak/>
        <w:t xml:space="preserve">Table </w:t>
      </w:r>
      <w:r w:rsidR="0008356A" w:rsidRPr="0008356A">
        <w:rPr>
          <w:rFonts w:ascii="Arial" w:hAnsi="Arial" w:cs="Arial"/>
          <w:b/>
          <w:bCs/>
          <w:color w:val="000000" w:themeColor="text1"/>
        </w:rPr>
        <w:t>5</w:t>
      </w:r>
      <w:r w:rsidRPr="0008356A">
        <w:rPr>
          <w:rFonts w:ascii="Arial" w:hAnsi="Arial" w:cs="Arial"/>
          <w:b/>
          <w:bCs/>
          <w:color w:val="000000" w:themeColor="text1"/>
        </w:rPr>
        <w:t xml:space="preserve">. </w:t>
      </w:r>
      <w:r w:rsidR="0008356A" w:rsidRPr="0008356A">
        <w:rPr>
          <w:rFonts w:ascii="Arial" w:hAnsi="Arial" w:cs="Arial"/>
          <w:b/>
          <w:bCs/>
        </w:rPr>
        <w:t>Parameter Estimation Results for Binary Logistic Model</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8"/>
        <w:gridCol w:w="1437"/>
        <w:gridCol w:w="4274"/>
        <w:gridCol w:w="1180"/>
        <w:gridCol w:w="1117"/>
      </w:tblGrid>
      <w:tr w:rsidR="00776007" w:rsidRPr="008850A3" w14:paraId="00D6DEBE" w14:textId="77777777" w:rsidTr="0008356A">
        <w:trPr>
          <w:trHeight w:val="968"/>
        </w:trPr>
        <w:tc>
          <w:tcPr>
            <w:tcW w:w="930" w:type="dxa"/>
            <w:shd w:val="clear" w:color="auto" w:fill="auto"/>
            <w:tcMar>
              <w:top w:w="15" w:type="dxa"/>
              <w:left w:w="108" w:type="dxa"/>
              <w:bottom w:w="0" w:type="dxa"/>
              <w:right w:w="108" w:type="dxa"/>
            </w:tcMar>
            <w:vAlign w:val="center"/>
            <w:hideMark/>
          </w:tcPr>
          <w:p w14:paraId="64469EAD"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 xml:space="preserve">Model </w:t>
            </w:r>
            <w:proofErr w:type="spellStart"/>
            <w:r w:rsidRPr="009B19CD">
              <w:rPr>
                <w:rFonts w:ascii="Arial" w:hAnsi="Arial" w:cs="Arial"/>
                <w:sz w:val="18"/>
                <w:szCs w:val="18"/>
                <w:lang w:val="en-ID"/>
              </w:rPr>
              <w:t>Tetsing</w:t>
            </w:r>
            <w:proofErr w:type="spellEnd"/>
          </w:p>
        </w:tc>
        <w:tc>
          <w:tcPr>
            <w:tcW w:w="1437" w:type="dxa"/>
            <w:shd w:val="clear" w:color="auto" w:fill="auto"/>
            <w:tcMar>
              <w:top w:w="15" w:type="dxa"/>
              <w:left w:w="108" w:type="dxa"/>
              <w:bottom w:w="0" w:type="dxa"/>
              <w:right w:w="108" w:type="dxa"/>
            </w:tcMar>
            <w:vAlign w:val="center"/>
            <w:hideMark/>
          </w:tcPr>
          <w:p w14:paraId="04423439"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The Test Simultaneously</w:t>
            </w:r>
          </w:p>
        </w:tc>
        <w:tc>
          <w:tcPr>
            <w:tcW w:w="4588" w:type="dxa"/>
            <w:shd w:val="clear" w:color="auto" w:fill="auto"/>
            <w:tcMar>
              <w:top w:w="15" w:type="dxa"/>
              <w:left w:w="108" w:type="dxa"/>
              <w:bottom w:w="0" w:type="dxa"/>
              <w:right w:w="108" w:type="dxa"/>
            </w:tcMar>
            <w:vAlign w:val="center"/>
            <w:hideMark/>
          </w:tcPr>
          <w:p w14:paraId="7ADA1092"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 xml:space="preserve">The </w:t>
            </w:r>
            <w:r w:rsidRPr="00776007">
              <w:rPr>
                <w:rFonts w:ascii="Arial" w:hAnsi="Arial" w:cs="Arial"/>
                <w:sz w:val="18"/>
                <w:szCs w:val="18"/>
                <w:lang w:val="en-ID"/>
              </w:rPr>
              <w:t>e-</w:t>
            </w:r>
            <w:r w:rsidRPr="009B19CD">
              <w:rPr>
                <w:rFonts w:ascii="Arial" w:hAnsi="Arial" w:cs="Arial"/>
                <w:sz w:val="18"/>
                <w:szCs w:val="18"/>
                <w:lang w:val="en-ID"/>
              </w:rPr>
              <w:t>Marketplace Model</w:t>
            </w:r>
          </w:p>
        </w:tc>
        <w:tc>
          <w:tcPr>
            <w:tcW w:w="1189" w:type="dxa"/>
            <w:shd w:val="clear" w:color="auto" w:fill="auto"/>
            <w:tcMar>
              <w:top w:w="15" w:type="dxa"/>
              <w:left w:w="108" w:type="dxa"/>
              <w:bottom w:w="0" w:type="dxa"/>
              <w:right w:w="108" w:type="dxa"/>
            </w:tcMar>
            <w:vAlign w:val="center"/>
            <w:hideMark/>
          </w:tcPr>
          <w:p w14:paraId="1ABAB524"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 xml:space="preserve">The </w:t>
            </w:r>
            <w:proofErr w:type="spellStart"/>
            <w:r w:rsidRPr="009B19CD">
              <w:rPr>
                <w:rFonts w:ascii="Arial" w:hAnsi="Arial" w:cs="Arial"/>
                <w:sz w:val="18"/>
                <w:szCs w:val="18"/>
                <w:lang w:val="en-ID"/>
              </w:rPr>
              <w:t>Hosmer</w:t>
            </w:r>
            <w:proofErr w:type="spellEnd"/>
            <w:r w:rsidRPr="009B19CD">
              <w:rPr>
                <w:rFonts w:ascii="Arial" w:hAnsi="Arial" w:cs="Arial"/>
                <w:sz w:val="18"/>
                <w:szCs w:val="18"/>
                <w:lang w:val="en-ID"/>
              </w:rPr>
              <w:t xml:space="preserve"> and </w:t>
            </w:r>
            <w:proofErr w:type="spellStart"/>
            <w:r w:rsidRPr="009B19CD">
              <w:rPr>
                <w:rFonts w:ascii="Arial" w:hAnsi="Arial" w:cs="Arial"/>
                <w:sz w:val="18"/>
                <w:szCs w:val="18"/>
                <w:lang w:val="en-ID"/>
              </w:rPr>
              <w:t>Lemeshow</w:t>
            </w:r>
            <w:proofErr w:type="spellEnd"/>
            <w:r w:rsidRPr="009B19CD">
              <w:rPr>
                <w:rFonts w:ascii="Arial" w:hAnsi="Arial" w:cs="Arial"/>
                <w:sz w:val="18"/>
                <w:szCs w:val="18"/>
                <w:lang w:val="en-ID"/>
              </w:rPr>
              <w:t xml:space="preserve"> tests</w:t>
            </w:r>
          </w:p>
        </w:tc>
        <w:tc>
          <w:tcPr>
            <w:tcW w:w="782" w:type="dxa"/>
            <w:shd w:val="clear" w:color="auto" w:fill="auto"/>
            <w:tcMar>
              <w:top w:w="15" w:type="dxa"/>
              <w:left w:w="108" w:type="dxa"/>
              <w:bottom w:w="0" w:type="dxa"/>
              <w:right w:w="108" w:type="dxa"/>
            </w:tcMar>
            <w:vAlign w:val="center"/>
            <w:hideMark/>
          </w:tcPr>
          <w:p w14:paraId="07C3E28D"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The Akaike Information Criterion</w:t>
            </w:r>
          </w:p>
        </w:tc>
      </w:tr>
      <w:tr w:rsidR="00776007" w:rsidRPr="008850A3" w14:paraId="1D8B4E26" w14:textId="77777777" w:rsidTr="0008356A">
        <w:trPr>
          <w:trHeight w:val="284"/>
        </w:trPr>
        <w:tc>
          <w:tcPr>
            <w:tcW w:w="930" w:type="dxa"/>
            <w:shd w:val="clear" w:color="auto" w:fill="auto"/>
            <w:tcMar>
              <w:top w:w="15" w:type="dxa"/>
              <w:left w:w="108" w:type="dxa"/>
              <w:bottom w:w="0" w:type="dxa"/>
              <w:right w:w="108" w:type="dxa"/>
            </w:tcMar>
            <w:vAlign w:val="center"/>
            <w:hideMark/>
          </w:tcPr>
          <w:p w14:paraId="4E2BD63F"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Model 1</w:t>
            </w:r>
          </w:p>
        </w:tc>
        <w:tc>
          <w:tcPr>
            <w:tcW w:w="1437" w:type="dxa"/>
            <w:shd w:val="clear" w:color="auto" w:fill="auto"/>
            <w:tcMar>
              <w:top w:w="15" w:type="dxa"/>
              <w:left w:w="108" w:type="dxa"/>
              <w:bottom w:w="0" w:type="dxa"/>
              <w:right w:w="108" w:type="dxa"/>
            </w:tcMar>
            <w:vAlign w:val="center"/>
            <w:hideMark/>
          </w:tcPr>
          <w:p w14:paraId="02C703B6"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23.68479</w:t>
            </w:r>
          </w:p>
        </w:tc>
        <w:tc>
          <w:tcPr>
            <w:tcW w:w="4588" w:type="dxa"/>
            <w:shd w:val="clear" w:color="auto" w:fill="auto"/>
            <w:tcMar>
              <w:top w:w="15" w:type="dxa"/>
              <w:left w:w="108" w:type="dxa"/>
              <w:bottom w:w="0" w:type="dxa"/>
              <w:right w:w="108" w:type="dxa"/>
            </w:tcMar>
            <w:vAlign w:val="center"/>
            <w:hideMark/>
          </w:tcPr>
          <w:p w14:paraId="27E60D5F" w14:textId="77777777" w:rsidR="00776007" w:rsidRPr="009B19CD" w:rsidRDefault="00776007" w:rsidP="000177A6">
            <w:pPr>
              <w:ind w:left="176"/>
              <w:contextualSpacing/>
              <w:rPr>
                <w:rFonts w:ascii="Arial" w:hAnsi="Arial" w:cs="Arial"/>
                <w:sz w:val="16"/>
                <w:szCs w:val="16"/>
                <w:lang w:val="en-ID"/>
              </w:rPr>
            </w:pPr>
            <m:oMathPara>
              <m:oMathParaPr>
                <m:jc m:val="centerGroup"/>
              </m:oMathParaPr>
              <m:oMath>
                <m:r>
                  <w:rPr>
                    <w:rFonts w:ascii="Cambria Math" w:hAnsi="Cambria Math" w:cs="Arial"/>
                    <w:sz w:val="16"/>
                    <w:szCs w:val="16"/>
                    <w:lang w:val="en-ID"/>
                  </w:rPr>
                  <m:t>g</m:t>
                </m:r>
                <m:d>
                  <m:dPr>
                    <m:ctrlPr>
                      <w:rPr>
                        <w:rFonts w:ascii="Cambria Math" w:hAnsi="Cambria Math" w:cs="Arial"/>
                        <w:i/>
                        <w:iCs/>
                        <w:sz w:val="16"/>
                        <w:szCs w:val="16"/>
                        <w:lang w:val="en-ID"/>
                      </w:rPr>
                    </m:ctrlPr>
                  </m:dPr>
                  <m:e>
                    <m:r>
                      <w:rPr>
                        <w:rFonts w:ascii="Cambria Math" w:hAnsi="Cambria Math" w:cs="Arial"/>
                        <w:sz w:val="16"/>
                        <w:szCs w:val="16"/>
                        <w:lang w:val="en-ID"/>
                      </w:rPr>
                      <m:t>x</m:t>
                    </m:r>
                  </m:e>
                </m:d>
                <m:r>
                  <m:rPr>
                    <m:sty m:val="p"/>
                  </m:rPr>
                  <w:rPr>
                    <w:rFonts w:ascii="Cambria Math" w:hAnsi="Cambria Math" w:cs="Arial"/>
                    <w:sz w:val="16"/>
                    <w:szCs w:val="16"/>
                    <w:lang w:val="en-ID"/>
                  </w:rPr>
                  <m:t>=6.6631-2.7991</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1.3</m:t>
                    </m:r>
                  </m:sub>
                </m:sSub>
                <m:r>
                  <m:rPr>
                    <m:sty m:val="p"/>
                  </m:rPr>
                  <w:rPr>
                    <w:rFonts w:ascii="Cambria Math" w:hAnsi="Cambria Math" w:cs="Arial"/>
                    <w:sz w:val="16"/>
                    <w:szCs w:val="16"/>
                    <w:lang w:val="en-ID"/>
                  </w:rPr>
                  <m:t>+2.2972</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1.8</m:t>
                    </m:r>
                  </m:sub>
                </m:sSub>
              </m:oMath>
            </m:oMathPara>
          </w:p>
        </w:tc>
        <w:tc>
          <w:tcPr>
            <w:tcW w:w="1189" w:type="dxa"/>
            <w:shd w:val="clear" w:color="auto" w:fill="auto"/>
            <w:tcMar>
              <w:top w:w="15" w:type="dxa"/>
              <w:left w:w="108" w:type="dxa"/>
              <w:bottom w:w="0" w:type="dxa"/>
              <w:right w:w="108" w:type="dxa"/>
            </w:tcMar>
            <w:vAlign w:val="center"/>
            <w:hideMark/>
          </w:tcPr>
          <w:p w14:paraId="3F9BCE74"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21.66</w:t>
            </w:r>
          </w:p>
        </w:tc>
        <w:tc>
          <w:tcPr>
            <w:tcW w:w="782" w:type="dxa"/>
            <w:shd w:val="clear" w:color="auto" w:fill="auto"/>
            <w:tcMar>
              <w:top w:w="15" w:type="dxa"/>
              <w:left w:w="108" w:type="dxa"/>
              <w:bottom w:w="0" w:type="dxa"/>
              <w:right w:w="108" w:type="dxa"/>
            </w:tcMar>
            <w:vAlign w:val="center"/>
            <w:hideMark/>
          </w:tcPr>
          <w:p w14:paraId="574C19EC"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452.6326</w:t>
            </w:r>
          </w:p>
        </w:tc>
      </w:tr>
      <w:tr w:rsidR="00776007" w:rsidRPr="008850A3" w14:paraId="2FFE1FBD" w14:textId="77777777" w:rsidTr="0008356A">
        <w:trPr>
          <w:trHeight w:val="284"/>
        </w:trPr>
        <w:tc>
          <w:tcPr>
            <w:tcW w:w="930" w:type="dxa"/>
            <w:shd w:val="clear" w:color="auto" w:fill="auto"/>
            <w:tcMar>
              <w:top w:w="15" w:type="dxa"/>
              <w:left w:w="108" w:type="dxa"/>
              <w:bottom w:w="0" w:type="dxa"/>
              <w:right w:w="108" w:type="dxa"/>
            </w:tcMar>
            <w:vAlign w:val="center"/>
            <w:hideMark/>
          </w:tcPr>
          <w:p w14:paraId="0441D25D"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Model 2</w:t>
            </w:r>
          </w:p>
        </w:tc>
        <w:tc>
          <w:tcPr>
            <w:tcW w:w="1437" w:type="dxa"/>
            <w:shd w:val="clear" w:color="auto" w:fill="auto"/>
            <w:tcMar>
              <w:top w:w="15" w:type="dxa"/>
              <w:left w:w="108" w:type="dxa"/>
              <w:bottom w:w="0" w:type="dxa"/>
              <w:right w:w="108" w:type="dxa"/>
            </w:tcMar>
            <w:vAlign w:val="center"/>
            <w:hideMark/>
          </w:tcPr>
          <w:p w14:paraId="6C2FE2FE"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22.36203</w:t>
            </w:r>
          </w:p>
        </w:tc>
        <w:tc>
          <w:tcPr>
            <w:tcW w:w="4588" w:type="dxa"/>
            <w:shd w:val="clear" w:color="auto" w:fill="auto"/>
            <w:tcMar>
              <w:top w:w="15" w:type="dxa"/>
              <w:left w:w="108" w:type="dxa"/>
              <w:bottom w:w="0" w:type="dxa"/>
              <w:right w:w="108" w:type="dxa"/>
            </w:tcMar>
            <w:vAlign w:val="center"/>
            <w:hideMark/>
          </w:tcPr>
          <w:p w14:paraId="042426BC" w14:textId="77777777" w:rsidR="00776007" w:rsidRPr="009B19CD" w:rsidRDefault="00776007" w:rsidP="000177A6">
            <w:pPr>
              <w:ind w:left="176"/>
              <w:contextualSpacing/>
              <w:rPr>
                <w:rFonts w:ascii="Arial" w:hAnsi="Arial" w:cs="Arial"/>
                <w:sz w:val="16"/>
                <w:szCs w:val="16"/>
                <w:lang w:val="en-ID"/>
              </w:rPr>
            </w:pPr>
            <m:oMathPara>
              <m:oMathParaPr>
                <m:jc m:val="centerGroup"/>
              </m:oMathParaPr>
              <m:oMath>
                <m:r>
                  <w:rPr>
                    <w:rFonts w:ascii="Cambria Math" w:hAnsi="Cambria Math" w:cs="Arial"/>
                    <w:sz w:val="16"/>
                    <w:szCs w:val="16"/>
                    <w:lang w:val="en-ID"/>
                  </w:rPr>
                  <m:t>g</m:t>
                </m:r>
                <m:d>
                  <m:dPr>
                    <m:ctrlPr>
                      <w:rPr>
                        <w:rFonts w:ascii="Cambria Math" w:hAnsi="Cambria Math" w:cs="Arial"/>
                        <w:i/>
                        <w:iCs/>
                        <w:sz w:val="16"/>
                        <w:szCs w:val="16"/>
                        <w:lang w:val="en-ID"/>
                      </w:rPr>
                    </m:ctrlPr>
                  </m:dPr>
                  <m:e>
                    <m:r>
                      <w:rPr>
                        <w:rFonts w:ascii="Cambria Math" w:hAnsi="Cambria Math" w:cs="Arial"/>
                        <w:sz w:val="16"/>
                        <w:szCs w:val="16"/>
                        <w:lang w:val="en-ID"/>
                      </w:rPr>
                      <m:t>x</m:t>
                    </m:r>
                  </m:e>
                </m:d>
                <m:r>
                  <m:rPr>
                    <m:sty m:val="p"/>
                  </m:rPr>
                  <w:rPr>
                    <w:rFonts w:ascii="Cambria Math" w:hAnsi="Cambria Math" w:cs="Arial"/>
                    <w:sz w:val="16"/>
                    <w:szCs w:val="16"/>
                    <w:lang w:val="en-ID"/>
                  </w:rPr>
                  <m:t>=6.5420-2.7946</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1.3</m:t>
                    </m:r>
                  </m:sub>
                </m:sSub>
                <m:r>
                  <m:rPr>
                    <m:sty m:val="p"/>
                  </m:rPr>
                  <w:rPr>
                    <w:rFonts w:ascii="Cambria Math" w:hAnsi="Cambria Math" w:cs="Arial"/>
                    <w:sz w:val="16"/>
                    <w:szCs w:val="16"/>
                    <w:lang w:val="en-ID"/>
                  </w:rPr>
                  <m:t>-3.5220</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1.7</m:t>
                    </m:r>
                  </m:sub>
                </m:sSub>
                <m:r>
                  <m:rPr>
                    <m:sty m:val="p"/>
                  </m:rPr>
                  <w:rPr>
                    <w:rFonts w:ascii="Cambria Math" w:hAnsi="Cambria Math" w:cs="Arial"/>
                    <w:sz w:val="16"/>
                    <w:szCs w:val="16"/>
                    <w:lang w:val="en-ID"/>
                  </w:rPr>
                  <m:t>+2.2955</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1.8</m:t>
                    </m:r>
                  </m:sub>
                </m:sSub>
              </m:oMath>
            </m:oMathPara>
          </w:p>
        </w:tc>
        <w:tc>
          <w:tcPr>
            <w:tcW w:w="1189" w:type="dxa"/>
            <w:shd w:val="clear" w:color="auto" w:fill="auto"/>
            <w:tcMar>
              <w:top w:w="15" w:type="dxa"/>
              <w:left w:w="108" w:type="dxa"/>
              <w:bottom w:w="0" w:type="dxa"/>
              <w:right w:w="108" w:type="dxa"/>
            </w:tcMar>
            <w:vAlign w:val="center"/>
            <w:hideMark/>
          </w:tcPr>
          <w:p w14:paraId="79EEA288"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21.64</w:t>
            </w:r>
          </w:p>
        </w:tc>
        <w:tc>
          <w:tcPr>
            <w:tcW w:w="782" w:type="dxa"/>
            <w:shd w:val="clear" w:color="auto" w:fill="auto"/>
            <w:tcMar>
              <w:top w:w="15" w:type="dxa"/>
              <w:left w:w="108" w:type="dxa"/>
              <w:bottom w:w="0" w:type="dxa"/>
              <w:right w:w="108" w:type="dxa"/>
            </w:tcMar>
            <w:vAlign w:val="center"/>
            <w:hideMark/>
          </w:tcPr>
          <w:p w14:paraId="52DE2A00"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450.6487</w:t>
            </w:r>
          </w:p>
        </w:tc>
      </w:tr>
      <w:tr w:rsidR="00776007" w:rsidRPr="008850A3" w14:paraId="1D2F5839" w14:textId="77777777" w:rsidTr="0008356A">
        <w:trPr>
          <w:trHeight w:val="284"/>
        </w:trPr>
        <w:tc>
          <w:tcPr>
            <w:tcW w:w="930" w:type="dxa"/>
            <w:shd w:val="clear" w:color="auto" w:fill="auto"/>
            <w:tcMar>
              <w:top w:w="15" w:type="dxa"/>
              <w:left w:w="108" w:type="dxa"/>
              <w:bottom w:w="0" w:type="dxa"/>
              <w:right w:w="108" w:type="dxa"/>
            </w:tcMar>
            <w:vAlign w:val="center"/>
            <w:hideMark/>
          </w:tcPr>
          <w:p w14:paraId="4314520D"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Model 3</w:t>
            </w:r>
          </w:p>
        </w:tc>
        <w:tc>
          <w:tcPr>
            <w:tcW w:w="1437" w:type="dxa"/>
            <w:shd w:val="clear" w:color="auto" w:fill="auto"/>
            <w:tcMar>
              <w:top w:w="15" w:type="dxa"/>
              <w:left w:w="108" w:type="dxa"/>
              <w:bottom w:w="0" w:type="dxa"/>
              <w:right w:w="108" w:type="dxa"/>
            </w:tcMar>
            <w:vAlign w:val="center"/>
            <w:hideMark/>
          </w:tcPr>
          <w:p w14:paraId="7D9CA5FE"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21.02607</w:t>
            </w:r>
          </w:p>
        </w:tc>
        <w:tc>
          <w:tcPr>
            <w:tcW w:w="4588" w:type="dxa"/>
            <w:shd w:val="clear" w:color="auto" w:fill="auto"/>
            <w:tcMar>
              <w:top w:w="15" w:type="dxa"/>
              <w:left w:w="108" w:type="dxa"/>
              <w:bottom w:w="0" w:type="dxa"/>
              <w:right w:w="108" w:type="dxa"/>
            </w:tcMar>
            <w:vAlign w:val="center"/>
            <w:hideMark/>
          </w:tcPr>
          <w:p w14:paraId="7D990957" w14:textId="77777777" w:rsidR="00776007" w:rsidRPr="009B19CD" w:rsidRDefault="00776007" w:rsidP="000177A6">
            <w:pPr>
              <w:ind w:left="176"/>
              <w:contextualSpacing/>
              <w:rPr>
                <w:rFonts w:ascii="Arial" w:hAnsi="Arial" w:cs="Arial"/>
                <w:sz w:val="16"/>
                <w:szCs w:val="16"/>
                <w:lang w:val="en-ID"/>
              </w:rPr>
            </w:pPr>
            <m:oMathPara>
              <m:oMathParaPr>
                <m:jc m:val="centerGroup"/>
              </m:oMathParaPr>
              <m:oMath>
                <m:r>
                  <w:rPr>
                    <w:rFonts w:ascii="Cambria Math" w:hAnsi="Cambria Math" w:cs="Arial"/>
                    <w:sz w:val="16"/>
                    <w:szCs w:val="16"/>
                    <w:lang w:val="en-ID"/>
                  </w:rPr>
                  <m:t>g</m:t>
                </m:r>
                <m:d>
                  <m:dPr>
                    <m:ctrlPr>
                      <w:rPr>
                        <w:rFonts w:ascii="Cambria Math" w:hAnsi="Cambria Math" w:cs="Arial"/>
                        <w:i/>
                        <w:iCs/>
                        <w:sz w:val="16"/>
                        <w:szCs w:val="16"/>
                        <w:lang w:val="en-ID"/>
                      </w:rPr>
                    </m:ctrlPr>
                  </m:dPr>
                  <m:e>
                    <m:r>
                      <w:rPr>
                        <w:rFonts w:ascii="Cambria Math" w:hAnsi="Cambria Math" w:cs="Arial"/>
                        <w:sz w:val="16"/>
                        <w:szCs w:val="16"/>
                        <w:lang w:val="en-ID"/>
                      </w:rPr>
                      <m:t>x</m:t>
                    </m:r>
                  </m:e>
                </m:d>
                <m:r>
                  <m:rPr>
                    <m:sty m:val="p"/>
                  </m:rPr>
                  <w:rPr>
                    <w:rFonts w:ascii="Cambria Math" w:hAnsi="Cambria Math" w:cs="Arial"/>
                    <w:sz w:val="16"/>
                    <w:szCs w:val="16"/>
                    <w:lang w:val="en-ID"/>
                  </w:rPr>
                  <m:t>=6.6954-2.80576</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1.3</m:t>
                    </m:r>
                  </m:sub>
                </m:sSub>
                <m:r>
                  <m:rPr>
                    <m:sty m:val="p"/>
                  </m:rPr>
                  <w:rPr>
                    <w:rFonts w:ascii="Cambria Math" w:hAnsi="Cambria Math" w:cs="Arial"/>
                    <w:sz w:val="16"/>
                    <w:szCs w:val="16"/>
                    <w:lang w:val="en-ID"/>
                  </w:rPr>
                  <m:t>-3.5892</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1.7</m:t>
                    </m:r>
                  </m:sub>
                </m:sSub>
                <m:r>
                  <m:rPr>
                    <m:sty m:val="p"/>
                  </m:rPr>
                  <w:rPr>
                    <w:rFonts w:ascii="Cambria Math" w:hAnsi="Cambria Math" w:cs="Arial"/>
                    <w:sz w:val="16"/>
                    <w:szCs w:val="16"/>
                    <w:lang w:val="en-ID"/>
                  </w:rPr>
                  <m:t>+2.2878</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1.8</m:t>
                    </m:r>
                  </m:sub>
                </m:sSub>
              </m:oMath>
            </m:oMathPara>
          </w:p>
        </w:tc>
        <w:tc>
          <w:tcPr>
            <w:tcW w:w="1189" w:type="dxa"/>
            <w:shd w:val="clear" w:color="auto" w:fill="auto"/>
            <w:tcMar>
              <w:top w:w="15" w:type="dxa"/>
              <w:left w:w="108" w:type="dxa"/>
              <w:bottom w:w="0" w:type="dxa"/>
              <w:right w:w="108" w:type="dxa"/>
            </w:tcMar>
            <w:vAlign w:val="center"/>
            <w:hideMark/>
          </w:tcPr>
          <w:p w14:paraId="73084969"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18.33</w:t>
            </w:r>
          </w:p>
        </w:tc>
        <w:tc>
          <w:tcPr>
            <w:tcW w:w="782" w:type="dxa"/>
            <w:shd w:val="clear" w:color="auto" w:fill="auto"/>
            <w:tcMar>
              <w:top w:w="15" w:type="dxa"/>
              <w:left w:w="108" w:type="dxa"/>
              <w:bottom w:w="0" w:type="dxa"/>
              <w:right w:w="108" w:type="dxa"/>
            </w:tcMar>
            <w:vAlign w:val="center"/>
            <w:hideMark/>
          </w:tcPr>
          <w:p w14:paraId="1FF53642"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448.6700</w:t>
            </w:r>
          </w:p>
        </w:tc>
      </w:tr>
      <w:tr w:rsidR="00776007" w:rsidRPr="008850A3" w14:paraId="2BBDC83E" w14:textId="77777777" w:rsidTr="0008356A">
        <w:trPr>
          <w:trHeight w:val="284"/>
        </w:trPr>
        <w:tc>
          <w:tcPr>
            <w:tcW w:w="930" w:type="dxa"/>
            <w:shd w:val="clear" w:color="auto" w:fill="auto"/>
            <w:tcMar>
              <w:top w:w="15" w:type="dxa"/>
              <w:left w:w="108" w:type="dxa"/>
              <w:bottom w:w="0" w:type="dxa"/>
              <w:right w:w="108" w:type="dxa"/>
            </w:tcMar>
            <w:vAlign w:val="center"/>
            <w:hideMark/>
          </w:tcPr>
          <w:p w14:paraId="3C5838CE"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Model 4</w:t>
            </w:r>
          </w:p>
        </w:tc>
        <w:tc>
          <w:tcPr>
            <w:tcW w:w="1437" w:type="dxa"/>
            <w:shd w:val="clear" w:color="auto" w:fill="auto"/>
            <w:tcMar>
              <w:top w:w="15" w:type="dxa"/>
              <w:left w:w="108" w:type="dxa"/>
              <w:bottom w:w="0" w:type="dxa"/>
              <w:right w:w="108" w:type="dxa"/>
            </w:tcMar>
            <w:vAlign w:val="center"/>
            <w:hideMark/>
          </w:tcPr>
          <w:p w14:paraId="1F881639"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19.67514</w:t>
            </w:r>
          </w:p>
        </w:tc>
        <w:tc>
          <w:tcPr>
            <w:tcW w:w="4588" w:type="dxa"/>
            <w:shd w:val="clear" w:color="auto" w:fill="auto"/>
            <w:tcMar>
              <w:top w:w="15" w:type="dxa"/>
              <w:left w:w="108" w:type="dxa"/>
              <w:bottom w:w="0" w:type="dxa"/>
              <w:right w:w="108" w:type="dxa"/>
            </w:tcMar>
            <w:vAlign w:val="center"/>
            <w:hideMark/>
          </w:tcPr>
          <w:p w14:paraId="42C944F3" w14:textId="77777777" w:rsidR="00776007" w:rsidRPr="009B19CD" w:rsidRDefault="00776007" w:rsidP="000177A6">
            <w:pPr>
              <w:ind w:left="176"/>
              <w:contextualSpacing/>
              <w:rPr>
                <w:rFonts w:ascii="Arial" w:hAnsi="Arial" w:cs="Arial"/>
                <w:sz w:val="16"/>
                <w:szCs w:val="16"/>
                <w:lang w:val="en-ID"/>
              </w:rPr>
            </w:pPr>
            <m:oMathPara>
              <m:oMathParaPr>
                <m:jc m:val="centerGroup"/>
              </m:oMathParaPr>
              <m:oMath>
                <m:r>
                  <w:rPr>
                    <w:rFonts w:ascii="Cambria Math" w:hAnsi="Cambria Math" w:cs="Arial"/>
                    <w:sz w:val="16"/>
                    <w:szCs w:val="16"/>
                    <w:lang w:val="en-ID"/>
                  </w:rPr>
                  <m:t>g</m:t>
                </m:r>
                <m:d>
                  <m:dPr>
                    <m:ctrlPr>
                      <w:rPr>
                        <w:rFonts w:ascii="Cambria Math" w:hAnsi="Cambria Math" w:cs="Arial"/>
                        <w:i/>
                        <w:iCs/>
                        <w:sz w:val="16"/>
                        <w:szCs w:val="16"/>
                        <w:lang w:val="en-ID"/>
                      </w:rPr>
                    </m:ctrlPr>
                  </m:dPr>
                  <m:e>
                    <m:r>
                      <w:rPr>
                        <w:rFonts w:ascii="Cambria Math" w:hAnsi="Cambria Math" w:cs="Arial"/>
                        <w:sz w:val="16"/>
                        <w:szCs w:val="16"/>
                        <w:lang w:val="en-ID"/>
                      </w:rPr>
                      <m:t>x</m:t>
                    </m:r>
                  </m:e>
                </m:d>
                <m:r>
                  <m:rPr>
                    <m:sty m:val="p"/>
                  </m:rPr>
                  <w:rPr>
                    <w:rFonts w:ascii="Cambria Math" w:hAnsi="Cambria Math" w:cs="Arial"/>
                    <w:sz w:val="16"/>
                    <w:szCs w:val="16"/>
                    <w:lang w:val="en-ID"/>
                  </w:rPr>
                  <m:t>=6.6402-2.8430</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1.3</m:t>
                    </m:r>
                  </m:sub>
                </m:sSub>
                <m:r>
                  <m:rPr>
                    <m:sty m:val="p"/>
                  </m:rPr>
                  <w:rPr>
                    <w:rFonts w:ascii="Cambria Math" w:hAnsi="Cambria Math" w:cs="Arial"/>
                    <w:sz w:val="16"/>
                    <w:szCs w:val="16"/>
                    <w:lang w:val="en-ID"/>
                  </w:rPr>
                  <m:t>-3.3765</m:t>
                </m:r>
                <m:sSub>
                  <m:sSubPr>
                    <m:ctrlPr>
                      <w:rPr>
                        <w:rFonts w:ascii="Cambria Math" w:hAnsi="Cambria Math" w:cs="Arial"/>
                        <w:i/>
                        <w:iCs/>
                        <w:sz w:val="16"/>
                        <w:szCs w:val="16"/>
                        <w:lang w:val="en-ID"/>
                      </w:rPr>
                    </m:ctrlPr>
                  </m:sSubPr>
                  <m:e>
                    <m:r>
                      <m:rPr>
                        <m:sty m:val="p"/>
                      </m:rPr>
                      <w:rPr>
                        <w:rFonts w:ascii="Cambria Math" w:hAnsi="Cambria Math" w:cs="Arial"/>
                        <w:sz w:val="16"/>
                        <w:szCs w:val="16"/>
                        <w:lang w:val="en-ID"/>
                      </w:rPr>
                      <m:t>X</m:t>
                    </m:r>
                  </m:e>
                  <m:sub>
                    <m:r>
                      <m:rPr>
                        <m:sty m:val="p"/>
                      </m:rPr>
                      <w:rPr>
                        <w:rFonts w:ascii="Cambria Math" w:hAnsi="Cambria Math" w:cs="Arial"/>
                        <w:sz w:val="16"/>
                        <w:szCs w:val="16"/>
                        <w:lang w:val="en-ID"/>
                      </w:rPr>
                      <m:t>1.7</m:t>
                    </m:r>
                  </m:sub>
                </m:sSub>
                <m:r>
                  <m:rPr>
                    <m:sty m:val="p"/>
                  </m:rPr>
                  <w:rPr>
                    <w:rFonts w:ascii="Cambria Math" w:hAnsi="Cambria Math" w:cs="Arial"/>
                    <w:sz w:val="16"/>
                    <w:szCs w:val="16"/>
                    <w:lang w:val="en-ID"/>
                  </w:rPr>
                  <m:t>+2.3429</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1.8</m:t>
                    </m:r>
                  </m:sub>
                </m:sSub>
              </m:oMath>
            </m:oMathPara>
          </w:p>
        </w:tc>
        <w:tc>
          <w:tcPr>
            <w:tcW w:w="1189" w:type="dxa"/>
            <w:shd w:val="clear" w:color="auto" w:fill="auto"/>
            <w:tcMar>
              <w:top w:w="15" w:type="dxa"/>
              <w:left w:w="108" w:type="dxa"/>
              <w:bottom w:w="0" w:type="dxa"/>
              <w:right w:w="108" w:type="dxa"/>
            </w:tcMar>
            <w:vAlign w:val="center"/>
            <w:hideMark/>
          </w:tcPr>
          <w:p w14:paraId="3E66F99E"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16.174</w:t>
            </w:r>
          </w:p>
        </w:tc>
        <w:tc>
          <w:tcPr>
            <w:tcW w:w="782" w:type="dxa"/>
            <w:shd w:val="clear" w:color="auto" w:fill="auto"/>
            <w:tcMar>
              <w:top w:w="15" w:type="dxa"/>
              <w:left w:w="108" w:type="dxa"/>
              <w:bottom w:w="0" w:type="dxa"/>
              <w:right w:w="108" w:type="dxa"/>
            </w:tcMar>
            <w:vAlign w:val="center"/>
            <w:hideMark/>
          </w:tcPr>
          <w:p w14:paraId="0F82E5FD"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446.7285</w:t>
            </w:r>
          </w:p>
        </w:tc>
      </w:tr>
      <w:tr w:rsidR="00776007" w:rsidRPr="008850A3" w14:paraId="59D6133F" w14:textId="77777777" w:rsidTr="0008356A">
        <w:trPr>
          <w:trHeight w:val="284"/>
        </w:trPr>
        <w:tc>
          <w:tcPr>
            <w:tcW w:w="930" w:type="dxa"/>
            <w:shd w:val="clear" w:color="auto" w:fill="auto"/>
            <w:tcMar>
              <w:top w:w="15" w:type="dxa"/>
              <w:left w:w="108" w:type="dxa"/>
              <w:bottom w:w="0" w:type="dxa"/>
              <w:right w:w="108" w:type="dxa"/>
            </w:tcMar>
            <w:vAlign w:val="center"/>
            <w:hideMark/>
          </w:tcPr>
          <w:p w14:paraId="2AB7C83E"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Model 5</w:t>
            </w:r>
          </w:p>
        </w:tc>
        <w:tc>
          <w:tcPr>
            <w:tcW w:w="1437" w:type="dxa"/>
            <w:shd w:val="clear" w:color="auto" w:fill="auto"/>
            <w:tcMar>
              <w:top w:w="15" w:type="dxa"/>
              <w:left w:w="108" w:type="dxa"/>
              <w:bottom w:w="0" w:type="dxa"/>
              <w:right w:w="108" w:type="dxa"/>
            </w:tcMar>
            <w:vAlign w:val="center"/>
            <w:hideMark/>
          </w:tcPr>
          <w:p w14:paraId="6789C491"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18.30704</w:t>
            </w:r>
          </w:p>
        </w:tc>
        <w:tc>
          <w:tcPr>
            <w:tcW w:w="4588" w:type="dxa"/>
            <w:shd w:val="clear" w:color="auto" w:fill="auto"/>
            <w:tcMar>
              <w:top w:w="15" w:type="dxa"/>
              <w:left w:w="108" w:type="dxa"/>
              <w:bottom w:w="0" w:type="dxa"/>
              <w:right w:w="108" w:type="dxa"/>
            </w:tcMar>
            <w:vAlign w:val="center"/>
            <w:hideMark/>
          </w:tcPr>
          <w:p w14:paraId="2B46EAE9" w14:textId="77777777" w:rsidR="00776007" w:rsidRPr="009B19CD" w:rsidRDefault="00776007" w:rsidP="000177A6">
            <w:pPr>
              <w:ind w:left="176"/>
              <w:contextualSpacing/>
              <w:rPr>
                <w:rFonts w:ascii="Arial" w:hAnsi="Arial" w:cs="Arial"/>
                <w:sz w:val="16"/>
                <w:szCs w:val="16"/>
                <w:lang w:val="en-ID"/>
              </w:rPr>
            </w:pPr>
            <m:oMathPara>
              <m:oMathParaPr>
                <m:jc m:val="centerGroup"/>
              </m:oMathParaPr>
              <m:oMath>
                <m:r>
                  <w:rPr>
                    <w:rFonts w:ascii="Cambria Math" w:hAnsi="Cambria Math" w:cs="Arial"/>
                    <w:sz w:val="16"/>
                    <w:szCs w:val="16"/>
                    <w:lang w:val="en-ID"/>
                  </w:rPr>
                  <m:t>g</m:t>
                </m:r>
                <m:d>
                  <m:dPr>
                    <m:ctrlPr>
                      <w:rPr>
                        <w:rFonts w:ascii="Cambria Math" w:hAnsi="Cambria Math" w:cs="Arial"/>
                        <w:i/>
                        <w:iCs/>
                        <w:sz w:val="16"/>
                        <w:szCs w:val="16"/>
                        <w:lang w:val="en-ID"/>
                      </w:rPr>
                    </m:ctrlPr>
                  </m:dPr>
                  <m:e>
                    <m:r>
                      <w:rPr>
                        <w:rFonts w:ascii="Cambria Math" w:hAnsi="Cambria Math" w:cs="Arial"/>
                        <w:sz w:val="16"/>
                        <w:szCs w:val="16"/>
                        <w:lang w:val="en-ID"/>
                      </w:rPr>
                      <m:t>x</m:t>
                    </m:r>
                  </m:e>
                </m:d>
                <m:r>
                  <m:rPr>
                    <m:sty m:val="p"/>
                  </m:rPr>
                  <w:rPr>
                    <w:rFonts w:ascii="Cambria Math" w:hAnsi="Cambria Math" w:cs="Arial"/>
                    <w:sz w:val="16"/>
                    <w:szCs w:val="16"/>
                    <w:lang w:val="en-ID"/>
                  </w:rPr>
                  <m:t>=7.6138-2.7925</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1.3</m:t>
                    </m:r>
                  </m:sub>
                </m:sSub>
                <m:r>
                  <m:rPr>
                    <m:sty m:val="p"/>
                  </m:rPr>
                  <w:rPr>
                    <w:rFonts w:ascii="Cambria Math" w:hAnsi="Cambria Math" w:cs="Arial"/>
                    <w:sz w:val="16"/>
                    <w:szCs w:val="16"/>
                    <w:lang w:val="en-ID"/>
                  </w:rPr>
                  <m:t>-3.3945</m:t>
                </m:r>
                <m:sSub>
                  <m:sSubPr>
                    <m:ctrlPr>
                      <w:rPr>
                        <w:rFonts w:ascii="Cambria Math" w:hAnsi="Cambria Math" w:cs="Arial"/>
                        <w:i/>
                        <w:iCs/>
                        <w:sz w:val="16"/>
                        <w:szCs w:val="16"/>
                        <w:lang w:val="en-ID"/>
                      </w:rPr>
                    </m:ctrlPr>
                  </m:sSubPr>
                  <m:e>
                    <m:r>
                      <m:rPr>
                        <m:sty m:val="p"/>
                      </m:rPr>
                      <w:rPr>
                        <w:rFonts w:ascii="Cambria Math" w:hAnsi="Cambria Math" w:cs="Arial"/>
                        <w:sz w:val="16"/>
                        <w:szCs w:val="16"/>
                        <w:lang w:val="en-ID"/>
                      </w:rPr>
                      <m:t>X</m:t>
                    </m:r>
                  </m:e>
                  <m:sub>
                    <m:r>
                      <m:rPr>
                        <m:sty m:val="p"/>
                      </m:rPr>
                      <w:rPr>
                        <w:rFonts w:ascii="Cambria Math" w:hAnsi="Cambria Math" w:cs="Arial"/>
                        <w:sz w:val="16"/>
                        <w:szCs w:val="16"/>
                        <w:lang w:val="en-ID"/>
                      </w:rPr>
                      <m:t>1.7</m:t>
                    </m:r>
                  </m:sub>
                </m:sSub>
                <m:r>
                  <m:rPr>
                    <m:sty m:val="p"/>
                  </m:rPr>
                  <w:rPr>
                    <w:rFonts w:ascii="Cambria Math" w:hAnsi="Cambria Math" w:cs="Arial"/>
                    <w:sz w:val="16"/>
                    <w:szCs w:val="16"/>
                    <w:lang w:val="en-ID"/>
                  </w:rPr>
                  <m:t>+2.2868</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1.8</m:t>
                    </m:r>
                  </m:sub>
                </m:sSub>
              </m:oMath>
            </m:oMathPara>
          </w:p>
        </w:tc>
        <w:tc>
          <w:tcPr>
            <w:tcW w:w="1189" w:type="dxa"/>
            <w:shd w:val="clear" w:color="auto" w:fill="auto"/>
            <w:tcMar>
              <w:top w:w="15" w:type="dxa"/>
              <w:left w:w="108" w:type="dxa"/>
              <w:bottom w:w="0" w:type="dxa"/>
              <w:right w:w="108" w:type="dxa"/>
            </w:tcMar>
            <w:vAlign w:val="center"/>
            <w:hideMark/>
          </w:tcPr>
          <w:p w14:paraId="5AAEA643"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10.005</w:t>
            </w:r>
          </w:p>
        </w:tc>
        <w:tc>
          <w:tcPr>
            <w:tcW w:w="782" w:type="dxa"/>
            <w:shd w:val="clear" w:color="auto" w:fill="auto"/>
            <w:tcMar>
              <w:top w:w="15" w:type="dxa"/>
              <w:left w:w="108" w:type="dxa"/>
              <w:bottom w:w="0" w:type="dxa"/>
              <w:right w:w="108" w:type="dxa"/>
            </w:tcMar>
            <w:vAlign w:val="center"/>
            <w:hideMark/>
          </w:tcPr>
          <w:p w14:paraId="792D4C53"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445.1516</w:t>
            </w:r>
          </w:p>
        </w:tc>
      </w:tr>
      <w:tr w:rsidR="00776007" w:rsidRPr="008850A3" w14:paraId="4EE67E40" w14:textId="77777777" w:rsidTr="0008356A">
        <w:trPr>
          <w:trHeight w:val="284"/>
        </w:trPr>
        <w:tc>
          <w:tcPr>
            <w:tcW w:w="930" w:type="dxa"/>
            <w:shd w:val="clear" w:color="auto" w:fill="auto"/>
            <w:tcMar>
              <w:top w:w="15" w:type="dxa"/>
              <w:left w:w="108" w:type="dxa"/>
              <w:bottom w:w="0" w:type="dxa"/>
              <w:right w:w="108" w:type="dxa"/>
            </w:tcMar>
            <w:vAlign w:val="center"/>
            <w:hideMark/>
          </w:tcPr>
          <w:p w14:paraId="04AD44E9"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Model 6</w:t>
            </w:r>
          </w:p>
        </w:tc>
        <w:tc>
          <w:tcPr>
            <w:tcW w:w="1437" w:type="dxa"/>
            <w:shd w:val="clear" w:color="auto" w:fill="auto"/>
            <w:tcMar>
              <w:top w:w="15" w:type="dxa"/>
              <w:left w:w="108" w:type="dxa"/>
              <w:bottom w:w="0" w:type="dxa"/>
              <w:right w:w="108" w:type="dxa"/>
            </w:tcMar>
            <w:vAlign w:val="center"/>
            <w:hideMark/>
          </w:tcPr>
          <w:p w14:paraId="06395D23"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16.91898</w:t>
            </w:r>
          </w:p>
        </w:tc>
        <w:tc>
          <w:tcPr>
            <w:tcW w:w="4588" w:type="dxa"/>
            <w:shd w:val="clear" w:color="auto" w:fill="auto"/>
            <w:tcMar>
              <w:top w:w="15" w:type="dxa"/>
              <w:left w:w="108" w:type="dxa"/>
              <w:bottom w:w="0" w:type="dxa"/>
              <w:right w:w="108" w:type="dxa"/>
            </w:tcMar>
            <w:vAlign w:val="center"/>
            <w:hideMark/>
          </w:tcPr>
          <w:p w14:paraId="61B6CDEC" w14:textId="77777777" w:rsidR="00776007" w:rsidRPr="009B19CD" w:rsidRDefault="00776007" w:rsidP="000177A6">
            <w:pPr>
              <w:ind w:left="176"/>
              <w:contextualSpacing/>
              <w:rPr>
                <w:rFonts w:ascii="Arial" w:hAnsi="Arial" w:cs="Arial"/>
                <w:sz w:val="16"/>
                <w:szCs w:val="16"/>
                <w:lang w:val="en-ID"/>
              </w:rPr>
            </w:pPr>
            <m:oMathPara>
              <m:oMathParaPr>
                <m:jc m:val="centerGroup"/>
              </m:oMathParaPr>
              <m:oMath>
                <m:r>
                  <w:rPr>
                    <w:rFonts w:ascii="Cambria Math" w:hAnsi="Cambria Math" w:cs="Arial"/>
                    <w:sz w:val="16"/>
                    <w:szCs w:val="16"/>
                    <w:lang w:val="en-ID"/>
                  </w:rPr>
                  <m:t>g</m:t>
                </m:r>
                <m:d>
                  <m:dPr>
                    <m:ctrlPr>
                      <w:rPr>
                        <w:rFonts w:ascii="Cambria Math" w:hAnsi="Cambria Math" w:cs="Arial"/>
                        <w:i/>
                        <w:iCs/>
                        <w:sz w:val="16"/>
                        <w:szCs w:val="16"/>
                        <w:lang w:val="en-ID"/>
                      </w:rPr>
                    </m:ctrlPr>
                  </m:dPr>
                  <m:e>
                    <m:r>
                      <w:rPr>
                        <w:rFonts w:ascii="Cambria Math" w:hAnsi="Cambria Math" w:cs="Arial"/>
                        <w:sz w:val="16"/>
                        <w:szCs w:val="16"/>
                        <w:lang w:val="en-ID"/>
                      </w:rPr>
                      <m:t>x</m:t>
                    </m:r>
                  </m:e>
                </m:d>
                <m:r>
                  <m:rPr>
                    <m:sty m:val="p"/>
                  </m:rPr>
                  <w:rPr>
                    <w:rFonts w:ascii="Cambria Math" w:hAnsi="Cambria Math" w:cs="Arial"/>
                    <w:sz w:val="16"/>
                    <w:szCs w:val="16"/>
                    <w:lang w:val="en-ID"/>
                  </w:rPr>
                  <m:t>=7.4638-2.8438</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1.3</m:t>
                    </m:r>
                  </m:sub>
                </m:sSub>
                <m:r>
                  <m:rPr>
                    <m:sty m:val="p"/>
                  </m:rPr>
                  <w:rPr>
                    <w:rFonts w:ascii="Cambria Math" w:hAnsi="Cambria Math" w:cs="Arial"/>
                    <w:sz w:val="16"/>
                    <w:szCs w:val="16"/>
                    <w:lang w:val="en-ID"/>
                  </w:rPr>
                  <m:t>-3.5971</m:t>
                </m:r>
                <m:sSub>
                  <m:sSubPr>
                    <m:ctrlPr>
                      <w:rPr>
                        <w:rFonts w:ascii="Cambria Math" w:hAnsi="Cambria Math" w:cs="Arial"/>
                        <w:i/>
                        <w:iCs/>
                        <w:sz w:val="16"/>
                        <w:szCs w:val="16"/>
                        <w:lang w:val="en-ID"/>
                      </w:rPr>
                    </m:ctrlPr>
                  </m:sSubPr>
                  <m:e>
                    <m:r>
                      <m:rPr>
                        <m:sty m:val="p"/>
                      </m:rPr>
                      <w:rPr>
                        <w:rFonts w:ascii="Cambria Math" w:hAnsi="Cambria Math" w:cs="Arial"/>
                        <w:sz w:val="16"/>
                        <w:szCs w:val="16"/>
                        <w:lang w:val="en-ID"/>
                      </w:rPr>
                      <m:t>X</m:t>
                    </m:r>
                  </m:e>
                  <m:sub>
                    <m:r>
                      <m:rPr>
                        <m:sty m:val="p"/>
                      </m:rPr>
                      <w:rPr>
                        <w:rFonts w:ascii="Cambria Math" w:hAnsi="Cambria Math" w:cs="Arial"/>
                        <w:sz w:val="16"/>
                        <w:szCs w:val="16"/>
                        <w:lang w:val="en-ID"/>
                      </w:rPr>
                      <m:t>1.7</m:t>
                    </m:r>
                  </m:sub>
                </m:sSub>
                <m:r>
                  <m:rPr>
                    <m:sty m:val="p"/>
                  </m:rPr>
                  <w:rPr>
                    <w:rFonts w:ascii="Cambria Math" w:hAnsi="Cambria Math" w:cs="Arial"/>
                    <w:sz w:val="16"/>
                    <w:szCs w:val="16"/>
                    <w:lang w:val="en-ID"/>
                  </w:rPr>
                  <m:t>+2.2937</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1.8</m:t>
                    </m:r>
                  </m:sub>
                </m:sSub>
              </m:oMath>
            </m:oMathPara>
          </w:p>
        </w:tc>
        <w:tc>
          <w:tcPr>
            <w:tcW w:w="1189" w:type="dxa"/>
            <w:shd w:val="clear" w:color="auto" w:fill="auto"/>
            <w:tcMar>
              <w:top w:w="15" w:type="dxa"/>
              <w:left w:w="108" w:type="dxa"/>
              <w:bottom w:w="0" w:type="dxa"/>
              <w:right w:w="108" w:type="dxa"/>
            </w:tcMar>
            <w:vAlign w:val="center"/>
            <w:hideMark/>
          </w:tcPr>
          <w:p w14:paraId="3D06B824"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9.1012</w:t>
            </w:r>
          </w:p>
        </w:tc>
        <w:tc>
          <w:tcPr>
            <w:tcW w:w="782" w:type="dxa"/>
            <w:shd w:val="clear" w:color="auto" w:fill="auto"/>
            <w:tcMar>
              <w:top w:w="15" w:type="dxa"/>
              <w:left w:w="108" w:type="dxa"/>
              <w:bottom w:w="0" w:type="dxa"/>
              <w:right w:w="108" w:type="dxa"/>
            </w:tcMar>
            <w:vAlign w:val="center"/>
            <w:hideMark/>
          </w:tcPr>
          <w:p w14:paraId="45D31C03"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443.5457</w:t>
            </w:r>
          </w:p>
        </w:tc>
      </w:tr>
      <w:tr w:rsidR="00776007" w:rsidRPr="008850A3" w14:paraId="40FD8275" w14:textId="77777777" w:rsidTr="0008356A">
        <w:trPr>
          <w:trHeight w:val="284"/>
        </w:trPr>
        <w:tc>
          <w:tcPr>
            <w:tcW w:w="930" w:type="dxa"/>
            <w:shd w:val="clear" w:color="auto" w:fill="auto"/>
            <w:tcMar>
              <w:top w:w="15" w:type="dxa"/>
              <w:left w:w="108" w:type="dxa"/>
              <w:bottom w:w="0" w:type="dxa"/>
              <w:right w:w="108" w:type="dxa"/>
            </w:tcMar>
            <w:vAlign w:val="center"/>
            <w:hideMark/>
          </w:tcPr>
          <w:p w14:paraId="7B862AF3"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Model 7</w:t>
            </w:r>
          </w:p>
        </w:tc>
        <w:tc>
          <w:tcPr>
            <w:tcW w:w="1437" w:type="dxa"/>
            <w:shd w:val="clear" w:color="auto" w:fill="auto"/>
            <w:tcMar>
              <w:top w:w="15" w:type="dxa"/>
              <w:left w:w="108" w:type="dxa"/>
              <w:bottom w:w="0" w:type="dxa"/>
              <w:right w:w="108" w:type="dxa"/>
            </w:tcMar>
            <w:vAlign w:val="center"/>
            <w:hideMark/>
          </w:tcPr>
          <w:p w14:paraId="652A93FA"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15.50731</w:t>
            </w:r>
          </w:p>
        </w:tc>
        <w:tc>
          <w:tcPr>
            <w:tcW w:w="4588" w:type="dxa"/>
            <w:shd w:val="clear" w:color="auto" w:fill="auto"/>
            <w:tcMar>
              <w:top w:w="15" w:type="dxa"/>
              <w:left w:w="108" w:type="dxa"/>
              <w:bottom w:w="0" w:type="dxa"/>
              <w:right w:w="108" w:type="dxa"/>
            </w:tcMar>
            <w:vAlign w:val="center"/>
            <w:hideMark/>
          </w:tcPr>
          <w:p w14:paraId="2D7BC6A5" w14:textId="77777777" w:rsidR="00776007" w:rsidRPr="009B19CD" w:rsidRDefault="00776007" w:rsidP="000177A6">
            <w:pPr>
              <w:ind w:left="176"/>
              <w:contextualSpacing/>
              <w:rPr>
                <w:rFonts w:ascii="Arial" w:hAnsi="Arial" w:cs="Arial"/>
                <w:sz w:val="16"/>
                <w:szCs w:val="16"/>
                <w:lang w:val="en-ID"/>
              </w:rPr>
            </w:pPr>
            <m:oMathPara>
              <m:oMathParaPr>
                <m:jc m:val="centerGroup"/>
              </m:oMathParaPr>
              <m:oMath>
                <m:r>
                  <w:rPr>
                    <w:rFonts w:ascii="Cambria Math" w:hAnsi="Cambria Math" w:cs="Arial"/>
                    <w:sz w:val="16"/>
                    <w:szCs w:val="16"/>
                    <w:lang w:val="en-ID"/>
                  </w:rPr>
                  <m:t>g</m:t>
                </m:r>
                <m:d>
                  <m:dPr>
                    <m:ctrlPr>
                      <w:rPr>
                        <w:rFonts w:ascii="Cambria Math" w:hAnsi="Cambria Math" w:cs="Arial"/>
                        <w:i/>
                        <w:iCs/>
                        <w:sz w:val="16"/>
                        <w:szCs w:val="16"/>
                        <w:lang w:val="en-ID"/>
                      </w:rPr>
                    </m:ctrlPr>
                  </m:dPr>
                  <m:e>
                    <m:r>
                      <w:rPr>
                        <w:rFonts w:ascii="Cambria Math" w:hAnsi="Cambria Math" w:cs="Arial"/>
                        <w:sz w:val="16"/>
                        <w:szCs w:val="16"/>
                        <w:lang w:val="en-ID"/>
                      </w:rPr>
                      <m:t>x</m:t>
                    </m:r>
                  </m:e>
                </m:d>
                <m:r>
                  <m:rPr>
                    <m:sty m:val="p"/>
                  </m:rPr>
                  <w:rPr>
                    <w:rFonts w:ascii="Cambria Math" w:hAnsi="Cambria Math" w:cs="Arial"/>
                    <w:sz w:val="16"/>
                    <w:szCs w:val="16"/>
                    <w:lang w:val="en-ID"/>
                  </w:rPr>
                  <m:t>=7.5510-2.5167</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1.3</m:t>
                    </m:r>
                  </m:sub>
                </m:sSub>
                <m:r>
                  <m:rPr>
                    <m:sty m:val="p"/>
                  </m:rPr>
                  <w:rPr>
                    <w:rFonts w:ascii="Cambria Math" w:hAnsi="Cambria Math" w:cs="Arial"/>
                    <w:sz w:val="16"/>
                    <w:szCs w:val="16"/>
                    <w:lang w:val="en-ID"/>
                  </w:rPr>
                  <m:t>-3.1698</m:t>
                </m:r>
                <m:sSub>
                  <m:sSubPr>
                    <m:ctrlPr>
                      <w:rPr>
                        <w:rFonts w:ascii="Cambria Math" w:hAnsi="Cambria Math" w:cs="Arial"/>
                        <w:i/>
                        <w:iCs/>
                        <w:sz w:val="16"/>
                        <w:szCs w:val="16"/>
                        <w:lang w:val="en-ID"/>
                      </w:rPr>
                    </m:ctrlPr>
                  </m:sSubPr>
                  <m:e>
                    <m:r>
                      <m:rPr>
                        <m:sty m:val="p"/>
                      </m:rPr>
                      <w:rPr>
                        <w:rFonts w:ascii="Cambria Math" w:hAnsi="Cambria Math" w:cs="Arial"/>
                        <w:sz w:val="16"/>
                        <w:szCs w:val="16"/>
                        <w:lang w:val="en-ID"/>
                      </w:rPr>
                      <m:t>X</m:t>
                    </m:r>
                  </m:e>
                  <m:sub>
                    <m:r>
                      <m:rPr>
                        <m:sty m:val="p"/>
                      </m:rPr>
                      <w:rPr>
                        <w:rFonts w:ascii="Cambria Math" w:hAnsi="Cambria Math" w:cs="Arial"/>
                        <w:sz w:val="16"/>
                        <w:szCs w:val="16"/>
                        <w:lang w:val="en-ID"/>
                      </w:rPr>
                      <m:t>1.7</m:t>
                    </m:r>
                  </m:sub>
                </m:sSub>
                <m:r>
                  <m:rPr>
                    <m:sty m:val="p"/>
                  </m:rPr>
                  <w:rPr>
                    <w:rFonts w:ascii="Cambria Math" w:hAnsi="Cambria Math" w:cs="Arial"/>
                    <w:sz w:val="16"/>
                    <w:szCs w:val="16"/>
                    <w:lang w:val="en-ID"/>
                  </w:rPr>
                  <m:t>+2.3973</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1.8</m:t>
                    </m:r>
                  </m:sub>
                </m:sSub>
              </m:oMath>
            </m:oMathPara>
          </w:p>
        </w:tc>
        <w:tc>
          <w:tcPr>
            <w:tcW w:w="1189" w:type="dxa"/>
            <w:shd w:val="clear" w:color="auto" w:fill="auto"/>
            <w:tcMar>
              <w:top w:w="15" w:type="dxa"/>
              <w:left w:w="108" w:type="dxa"/>
              <w:bottom w:w="0" w:type="dxa"/>
              <w:right w:w="108" w:type="dxa"/>
            </w:tcMar>
            <w:vAlign w:val="center"/>
            <w:hideMark/>
          </w:tcPr>
          <w:p w14:paraId="00808635"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12.603</w:t>
            </w:r>
          </w:p>
        </w:tc>
        <w:tc>
          <w:tcPr>
            <w:tcW w:w="782" w:type="dxa"/>
            <w:shd w:val="clear" w:color="auto" w:fill="auto"/>
            <w:tcMar>
              <w:top w:w="15" w:type="dxa"/>
              <w:left w:w="108" w:type="dxa"/>
              <w:bottom w:w="0" w:type="dxa"/>
              <w:right w:w="108" w:type="dxa"/>
            </w:tcMar>
            <w:vAlign w:val="center"/>
            <w:hideMark/>
          </w:tcPr>
          <w:p w14:paraId="5DA93FB2"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442.5060</w:t>
            </w:r>
          </w:p>
        </w:tc>
      </w:tr>
      <w:tr w:rsidR="00776007" w:rsidRPr="008850A3" w14:paraId="656C15F6" w14:textId="77777777" w:rsidTr="0008356A">
        <w:trPr>
          <w:trHeight w:val="284"/>
        </w:trPr>
        <w:tc>
          <w:tcPr>
            <w:tcW w:w="930" w:type="dxa"/>
            <w:shd w:val="clear" w:color="auto" w:fill="auto"/>
            <w:tcMar>
              <w:top w:w="15" w:type="dxa"/>
              <w:left w:w="108" w:type="dxa"/>
              <w:bottom w:w="0" w:type="dxa"/>
              <w:right w:w="108" w:type="dxa"/>
            </w:tcMar>
            <w:vAlign w:val="center"/>
            <w:hideMark/>
          </w:tcPr>
          <w:p w14:paraId="58828BEF"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Model 8</w:t>
            </w:r>
          </w:p>
        </w:tc>
        <w:tc>
          <w:tcPr>
            <w:tcW w:w="1437" w:type="dxa"/>
            <w:shd w:val="clear" w:color="auto" w:fill="auto"/>
            <w:tcMar>
              <w:top w:w="15" w:type="dxa"/>
              <w:left w:w="108" w:type="dxa"/>
              <w:bottom w:w="0" w:type="dxa"/>
              <w:right w:w="108" w:type="dxa"/>
            </w:tcMar>
            <w:vAlign w:val="center"/>
            <w:hideMark/>
          </w:tcPr>
          <w:p w14:paraId="233F29F7"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14.06714</w:t>
            </w:r>
          </w:p>
        </w:tc>
        <w:tc>
          <w:tcPr>
            <w:tcW w:w="4588" w:type="dxa"/>
            <w:shd w:val="clear" w:color="auto" w:fill="auto"/>
            <w:tcMar>
              <w:top w:w="15" w:type="dxa"/>
              <w:left w:w="108" w:type="dxa"/>
              <w:bottom w:w="0" w:type="dxa"/>
              <w:right w:w="108" w:type="dxa"/>
            </w:tcMar>
            <w:vAlign w:val="center"/>
            <w:hideMark/>
          </w:tcPr>
          <w:p w14:paraId="4939AFEA" w14:textId="77777777" w:rsidR="00776007" w:rsidRPr="009B19CD" w:rsidRDefault="00776007" w:rsidP="000177A6">
            <w:pPr>
              <w:ind w:left="176"/>
              <w:contextualSpacing/>
              <w:rPr>
                <w:rFonts w:ascii="Arial" w:hAnsi="Arial" w:cs="Arial"/>
                <w:sz w:val="16"/>
                <w:szCs w:val="16"/>
                <w:lang w:val="en-ID"/>
              </w:rPr>
            </w:pPr>
            <m:oMathPara>
              <m:oMathParaPr>
                <m:jc m:val="centerGroup"/>
              </m:oMathParaPr>
              <m:oMath>
                <m:r>
                  <w:rPr>
                    <w:rFonts w:ascii="Cambria Math" w:hAnsi="Cambria Math" w:cs="Arial"/>
                    <w:sz w:val="16"/>
                    <w:szCs w:val="16"/>
                    <w:lang w:val="en-ID"/>
                  </w:rPr>
                  <m:t>g</m:t>
                </m:r>
                <m:d>
                  <m:dPr>
                    <m:ctrlPr>
                      <w:rPr>
                        <w:rFonts w:ascii="Cambria Math" w:hAnsi="Cambria Math" w:cs="Arial"/>
                        <w:i/>
                        <w:iCs/>
                        <w:sz w:val="16"/>
                        <w:szCs w:val="16"/>
                        <w:lang w:val="en-ID"/>
                      </w:rPr>
                    </m:ctrlPr>
                  </m:dPr>
                  <m:e>
                    <m:r>
                      <w:rPr>
                        <w:rFonts w:ascii="Cambria Math" w:hAnsi="Cambria Math" w:cs="Arial"/>
                        <w:sz w:val="16"/>
                        <w:szCs w:val="16"/>
                        <w:lang w:val="en-ID"/>
                      </w:rPr>
                      <m:t>x</m:t>
                    </m:r>
                  </m:e>
                </m:d>
                <m:r>
                  <m:rPr>
                    <m:sty m:val="p"/>
                  </m:rPr>
                  <w:rPr>
                    <w:rFonts w:ascii="Cambria Math" w:hAnsi="Cambria Math" w:cs="Arial"/>
                    <w:sz w:val="16"/>
                    <w:szCs w:val="16"/>
                    <w:lang w:val="en-ID"/>
                  </w:rPr>
                  <m:t>=7.5213-2.4539</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1.3</m:t>
                    </m:r>
                  </m:sub>
                </m:sSub>
                <m:r>
                  <m:rPr>
                    <m:sty m:val="p"/>
                  </m:rPr>
                  <w:rPr>
                    <w:rFonts w:ascii="Cambria Math" w:hAnsi="Cambria Math" w:cs="Arial"/>
                    <w:sz w:val="16"/>
                    <w:szCs w:val="16"/>
                    <w:lang w:val="en-ID"/>
                  </w:rPr>
                  <m:t>+2.5757</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1.8</m:t>
                    </m:r>
                  </m:sub>
                </m:sSub>
              </m:oMath>
            </m:oMathPara>
          </w:p>
        </w:tc>
        <w:tc>
          <w:tcPr>
            <w:tcW w:w="1189" w:type="dxa"/>
            <w:shd w:val="clear" w:color="auto" w:fill="auto"/>
            <w:tcMar>
              <w:top w:w="15" w:type="dxa"/>
              <w:left w:w="108" w:type="dxa"/>
              <w:bottom w:w="0" w:type="dxa"/>
              <w:right w:w="108" w:type="dxa"/>
            </w:tcMar>
            <w:vAlign w:val="center"/>
            <w:hideMark/>
          </w:tcPr>
          <w:p w14:paraId="451E6CEA"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13.639</w:t>
            </w:r>
          </w:p>
        </w:tc>
        <w:tc>
          <w:tcPr>
            <w:tcW w:w="782" w:type="dxa"/>
            <w:shd w:val="clear" w:color="auto" w:fill="auto"/>
            <w:tcMar>
              <w:top w:w="15" w:type="dxa"/>
              <w:left w:w="108" w:type="dxa"/>
              <w:bottom w:w="0" w:type="dxa"/>
              <w:right w:w="108" w:type="dxa"/>
            </w:tcMar>
            <w:vAlign w:val="center"/>
            <w:hideMark/>
          </w:tcPr>
          <w:p w14:paraId="3B451CBB"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441.5589</w:t>
            </w:r>
          </w:p>
        </w:tc>
      </w:tr>
      <w:tr w:rsidR="00776007" w:rsidRPr="008850A3" w14:paraId="176ABD8E" w14:textId="77777777" w:rsidTr="0008356A">
        <w:trPr>
          <w:trHeight w:val="284"/>
        </w:trPr>
        <w:tc>
          <w:tcPr>
            <w:tcW w:w="930" w:type="dxa"/>
            <w:shd w:val="clear" w:color="auto" w:fill="auto"/>
            <w:tcMar>
              <w:top w:w="15" w:type="dxa"/>
              <w:left w:w="108" w:type="dxa"/>
              <w:bottom w:w="0" w:type="dxa"/>
              <w:right w:w="108" w:type="dxa"/>
            </w:tcMar>
            <w:vAlign w:val="center"/>
            <w:hideMark/>
          </w:tcPr>
          <w:p w14:paraId="7E936B02"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Model 9</w:t>
            </w:r>
          </w:p>
        </w:tc>
        <w:tc>
          <w:tcPr>
            <w:tcW w:w="1437" w:type="dxa"/>
            <w:shd w:val="clear" w:color="auto" w:fill="auto"/>
            <w:tcMar>
              <w:top w:w="15" w:type="dxa"/>
              <w:left w:w="108" w:type="dxa"/>
              <w:bottom w:w="0" w:type="dxa"/>
              <w:right w:w="108" w:type="dxa"/>
            </w:tcMar>
            <w:vAlign w:val="center"/>
            <w:hideMark/>
          </w:tcPr>
          <w:p w14:paraId="787D3A76"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12.59159</w:t>
            </w:r>
          </w:p>
        </w:tc>
        <w:tc>
          <w:tcPr>
            <w:tcW w:w="4588" w:type="dxa"/>
            <w:shd w:val="clear" w:color="auto" w:fill="auto"/>
            <w:tcMar>
              <w:top w:w="15" w:type="dxa"/>
              <w:left w:w="108" w:type="dxa"/>
              <w:bottom w:w="0" w:type="dxa"/>
              <w:right w:w="108" w:type="dxa"/>
            </w:tcMar>
            <w:vAlign w:val="center"/>
            <w:hideMark/>
          </w:tcPr>
          <w:p w14:paraId="7738C21E" w14:textId="77777777" w:rsidR="00776007" w:rsidRPr="009B19CD" w:rsidRDefault="00776007" w:rsidP="000177A6">
            <w:pPr>
              <w:ind w:left="176"/>
              <w:contextualSpacing/>
              <w:rPr>
                <w:rFonts w:ascii="Arial" w:hAnsi="Arial" w:cs="Arial"/>
                <w:sz w:val="16"/>
                <w:szCs w:val="16"/>
                <w:lang w:val="en-ID"/>
              </w:rPr>
            </w:pPr>
            <m:oMathPara>
              <m:oMathParaPr>
                <m:jc m:val="centerGroup"/>
              </m:oMathParaPr>
              <m:oMath>
                <m:r>
                  <w:rPr>
                    <w:rFonts w:ascii="Cambria Math" w:hAnsi="Cambria Math" w:cs="Arial"/>
                    <w:sz w:val="16"/>
                    <w:szCs w:val="16"/>
                    <w:lang w:val="en-ID"/>
                  </w:rPr>
                  <m:t>g</m:t>
                </m:r>
                <m:d>
                  <m:dPr>
                    <m:ctrlPr>
                      <w:rPr>
                        <w:rFonts w:ascii="Cambria Math" w:hAnsi="Cambria Math" w:cs="Arial"/>
                        <w:i/>
                        <w:iCs/>
                        <w:sz w:val="16"/>
                        <w:szCs w:val="16"/>
                        <w:lang w:val="en-ID"/>
                      </w:rPr>
                    </m:ctrlPr>
                  </m:dPr>
                  <m:e>
                    <m:r>
                      <w:rPr>
                        <w:rFonts w:ascii="Cambria Math" w:hAnsi="Cambria Math" w:cs="Arial"/>
                        <w:sz w:val="16"/>
                        <w:szCs w:val="16"/>
                        <w:lang w:val="en-ID"/>
                      </w:rPr>
                      <m:t>x</m:t>
                    </m:r>
                  </m:e>
                </m:d>
                <m:r>
                  <m:rPr>
                    <m:sty m:val="p"/>
                  </m:rPr>
                  <w:rPr>
                    <w:rFonts w:ascii="Cambria Math" w:hAnsi="Cambria Math" w:cs="Arial"/>
                    <w:sz w:val="16"/>
                    <w:szCs w:val="16"/>
                    <w:lang w:val="en-ID"/>
                  </w:rPr>
                  <m:t>=7.5889-2.3852</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1.3</m:t>
                    </m:r>
                  </m:sub>
                </m:sSub>
                <m:r>
                  <m:rPr>
                    <m:sty m:val="p"/>
                  </m:rPr>
                  <w:rPr>
                    <w:rFonts w:ascii="Cambria Math" w:hAnsi="Cambria Math" w:cs="Arial"/>
                    <w:sz w:val="16"/>
                    <w:szCs w:val="16"/>
                    <w:lang w:val="en-ID"/>
                  </w:rPr>
                  <m:t>-2.9266</m:t>
                </m:r>
                <m:sSub>
                  <m:sSubPr>
                    <m:ctrlPr>
                      <w:rPr>
                        <w:rFonts w:ascii="Cambria Math" w:hAnsi="Cambria Math" w:cs="Arial"/>
                        <w:i/>
                        <w:iCs/>
                        <w:sz w:val="16"/>
                        <w:szCs w:val="16"/>
                        <w:lang w:val="en-ID"/>
                      </w:rPr>
                    </m:ctrlPr>
                  </m:sSubPr>
                  <m:e>
                    <m:r>
                      <m:rPr>
                        <m:sty m:val="p"/>
                      </m:rPr>
                      <w:rPr>
                        <w:rFonts w:ascii="Cambria Math" w:hAnsi="Cambria Math" w:cs="Arial"/>
                        <w:sz w:val="16"/>
                        <w:szCs w:val="16"/>
                        <w:lang w:val="en-ID"/>
                      </w:rPr>
                      <m:t>X</m:t>
                    </m:r>
                  </m:e>
                  <m:sub>
                    <m:r>
                      <m:rPr>
                        <m:sty m:val="p"/>
                      </m:rPr>
                      <w:rPr>
                        <w:rFonts w:ascii="Cambria Math" w:hAnsi="Cambria Math" w:cs="Arial"/>
                        <w:sz w:val="16"/>
                        <w:szCs w:val="16"/>
                        <w:lang w:val="en-ID"/>
                      </w:rPr>
                      <m:t>1.7</m:t>
                    </m:r>
                  </m:sub>
                </m:sSub>
                <m:r>
                  <m:rPr>
                    <m:sty m:val="p"/>
                  </m:rPr>
                  <w:rPr>
                    <w:rFonts w:ascii="Cambria Math" w:hAnsi="Cambria Math" w:cs="Arial"/>
                    <w:sz w:val="16"/>
                    <w:szCs w:val="16"/>
                    <w:lang w:val="en-ID"/>
                  </w:rPr>
                  <m:t>+2.2177</m:t>
                </m:r>
                <m:sSub>
                  <m:sSubPr>
                    <m:ctrlPr>
                      <w:rPr>
                        <w:rFonts w:ascii="Cambria Math" w:hAnsi="Cambria Math" w:cs="Arial"/>
                        <w:i/>
                        <w:iCs/>
                        <w:sz w:val="16"/>
                        <w:szCs w:val="16"/>
                        <w:lang w:val="en-ID"/>
                      </w:rPr>
                    </m:ctrlPr>
                  </m:sSubPr>
                  <m:e>
                    <m:r>
                      <w:rPr>
                        <w:rFonts w:ascii="Cambria Math" w:hAnsi="Cambria Math" w:cs="Arial"/>
                        <w:sz w:val="16"/>
                        <w:szCs w:val="16"/>
                        <w:lang w:val="en-ID"/>
                      </w:rPr>
                      <m:t>X</m:t>
                    </m:r>
                  </m:e>
                  <m:sub>
                    <m:r>
                      <m:rPr>
                        <m:sty m:val="p"/>
                      </m:rPr>
                      <w:rPr>
                        <w:rFonts w:ascii="Cambria Math" w:hAnsi="Cambria Math" w:cs="Arial"/>
                        <w:sz w:val="16"/>
                        <w:szCs w:val="16"/>
                        <w:lang w:val="en-ID"/>
                      </w:rPr>
                      <m:t>1.8</m:t>
                    </m:r>
                  </m:sub>
                </m:sSub>
              </m:oMath>
            </m:oMathPara>
          </w:p>
        </w:tc>
        <w:tc>
          <w:tcPr>
            <w:tcW w:w="1189" w:type="dxa"/>
            <w:shd w:val="clear" w:color="auto" w:fill="auto"/>
            <w:tcMar>
              <w:top w:w="15" w:type="dxa"/>
              <w:left w:w="108" w:type="dxa"/>
              <w:bottom w:w="0" w:type="dxa"/>
              <w:right w:w="108" w:type="dxa"/>
            </w:tcMar>
            <w:vAlign w:val="center"/>
            <w:hideMark/>
          </w:tcPr>
          <w:p w14:paraId="577BDF79"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7.801</w:t>
            </w:r>
          </w:p>
        </w:tc>
        <w:tc>
          <w:tcPr>
            <w:tcW w:w="782" w:type="dxa"/>
            <w:shd w:val="clear" w:color="auto" w:fill="auto"/>
            <w:tcMar>
              <w:top w:w="15" w:type="dxa"/>
              <w:left w:w="108" w:type="dxa"/>
              <w:bottom w:w="0" w:type="dxa"/>
              <w:right w:w="108" w:type="dxa"/>
            </w:tcMar>
            <w:vAlign w:val="center"/>
            <w:hideMark/>
          </w:tcPr>
          <w:p w14:paraId="4639186C" w14:textId="77777777" w:rsidR="00776007" w:rsidRPr="009B19CD" w:rsidRDefault="00776007" w:rsidP="000177A6">
            <w:pPr>
              <w:contextualSpacing/>
              <w:jc w:val="center"/>
              <w:rPr>
                <w:rFonts w:ascii="Arial" w:hAnsi="Arial" w:cs="Arial"/>
                <w:sz w:val="18"/>
                <w:szCs w:val="18"/>
                <w:lang w:val="en-ID"/>
              </w:rPr>
            </w:pPr>
            <w:r w:rsidRPr="009B19CD">
              <w:rPr>
                <w:rFonts w:ascii="Arial" w:hAnsi="Arial" w:cs="Arial"/>
                <w:sz w:val="18"/>
                <w:szCs w:val="18"/>
                <w:lang w:val="en-ID"/>
              </w:rPr>
              <w:t>441.1811</w:t>
            </w:r>
          </w:p>
        </w:tc>
      </w:tr>
    </w:tbl>
    <w:p w14:paraId="41186938" w14:textId="77777777" w:rsidR="009B19CD" w:rsidRDefault="009B19CD" w:rsidP="006C6575">
      <w:pPr>
        <w:contextualSpacing/>
        <w:jc w:val="both"/>
        <w:rPr>
          <w:rFonts w:ascii="Arial" w:hAnsi="Arial" w:cs="Arial"/>
        </w:rPr>
      </w:pPr>
    </w:p>
    <w:p w14:paraId="2183B85E" w14:textId="4A84509C" w:rsidR="009B19CD" w:rsidRPr="0008356A" w:rsidRDefault="0008356A" w:rsidP="006C6575">
      <w:pPr>
        <w:contextualSpacing/>
        <w:jc w:val="both"/>
        <w:rPr>
          <w:rFonts w:ascii="Arial" w:hAnsi="Arial" w:cs="Arial"/>
        </w:rPr>
      </w:pPr>
      <w:r w:rsidRPr="0008356A">
        <w:rPr>
          <w:rFonts w:ascii="Arial" w:hAnsi="Arial" w:cs="Arial"/>
        </w:rPr>
        <w:t>Based on the test results above, it can be seen. This means that if accepted, the model used is in accordance with the data. Based on the nine models formed, the best model was chosen to predict the selection of the best e-marketplace in Indonesia. Selection of the best model based on the value of </w:t>
      </w:r>
      <w:r w:rsidRPr="0008356A">
        <w:rPr>
          <w:rStyle w:val="Emphasis"/>
          <w:rFonts w:ascii="Arial" w:hAnsi="Arial" w:cs="Arial"/>
          <w:color w:val="0E101A"/>
        </w:rPr>
        <w:t>the Akaike Information Criterion</w:t>
      </w:r>
      <w:r w:rsidRPr="0008356A">
        <w:rPr>
          <w:rFonts w:ascii="Arial" w:hAnsi="Arial" w:cs="Arial"/>
        </w:rPr>
        <w:t> (</w:t>
      </w:r>
      <w:r w:rsidR="005F6674" w:rsidRPr="0008356A">
        <w:rPr>
          <w:rFonts w:ascii="Arial" w:hAnsi="Arial" w:cs="Arial"/>
        </w:rPr>
        <w:t>AIC)</w:t>
      </w:r>
      <w:r w:rsidRPr="0008356A">
        <w:rPr>
          <w:rFonts w:ascii="Arial" w:hAnsi="Arial" w:cs="Arial"/>
        </w:rPr>
        <w:t>. AIC is a method that can be used to select the best regression model discovered by Akaike and Schwarz. According to the AIC method, the best regression model is the regression model that has the smallest AIC value. Based on the output above, it can be seen that the model with the smallest AIC is the “Model 9,” with an AIC value of 411.1811. After obtaining the best model, it is evaluated for classification accuracy. This classification accuracy is used to determine the feasibility of a model by indicating the percentage of correct classifications.</w:t>
      </w:r>
    </w:p>
    <w:p w14:paraId="06B6EB8B" w14:textId="6716B5BE" w:rsidR="0008356A" w:rsidRDefault="0008356A" w:rsidP="006C6575">
      <w:pPr>
        <w:contextualSpacing/>
        <w:jc w:val="both"/>
        <w:rPr>
          <w:rFonts w:ascii="Arial" w:eastAsia="Arial" w:hAnsi="Arial" w:cs="Arial"/>
          <w:b/>
        </w:rPr>
      </w:pPr>
    </w:p>
    <w:p w14:paraId="6D4719C8" w14:textId="1F40D8B0" w:rsidR="0008356A" w:rsidRDefault="0008356A" w:rsidP="006C6575">
      <w:pPr>
        <w:contextualSpacing/>
        <w:jc w:val="both"/>
        <w:rPr>
          <w:rFonts w:ascii="Arial" w:hAnsi="Arial" w:cs="Arial"/>
          <w:b/>
          <w:bCs/>
          <w:sz w:val="22"/>
          <w:szCs w:val="22"/>
          <w:lang w:val="en-US"/>
        </w:rPr>
      </w:pPr>
      <w:r w:rsidRPr="0008356A">
        <w:rPr>
          <w:rFonts w:ascii="Arial" w:hAnsi="Arial" w:cs="Arial"/>
          <w:b/>
          <w:bCs/>
          <w:sz w:val="22"/>
          <w:szCs w:val="22"/>
          <w:lang w:val="en-US"/>
        </w:rPr>
        <w:t>Classification Accuracy</w:t>
      </w:r>
    </w:p>
    <w:p w14:paraId="15C59648" w14:textId="0B841811" w:rsidR="0008356A" w:rsidRDefault="0008356A" w:rsidP="006C6575">
      <w:pPr>
        <w:contextualSpacing/>
        <w:jc w:val="both"/>
        <w:rPr>
          <w:rFonts w:ascii="Arial" w:hAnsi="Arial" w:cs="Arial"/>
          <w:b/>
          <w:bCs/>
          <w:sz w:val="22"/>
          <w:szCs w:val="22"/>
          <w:lang w:val="en-US"/>
        </w:rPr>
      </w:pPr>
    </w:p>
    <w:p w14:paraId="659BEE5C" w14:textId="6C06A35B" w:rsidR="0008356A" w:rsidRPr="0008356A" w:rsidRDefault="0008356A" w:rsidP="0008356A">
      <w:pPr>
        <w:contextualSpacing/>
        <w:jc w:val="center"/>
        <w:rPr>
          <w:rFonts w:ascii="Arial" w:hAnsi="Arial" w:cs="Arial"/>
          <w:b/>
          <w:bCs/>
          <w:lang w:val="en-US"/>
        </w:rPr>
      </w:pPr>
      <w:r w:rsidRPr="0008356A">
        <w:rPr>
          <w:rFonts w:ascii="Arial" w:hAnsi="Arial" w:cs="Arial"/>
          <w:b/>
          <w:bCs/>
          <w:color w:val="000000" w:themeColor="text1"/>
        </w:rPr>
        <w:t xml:space="preserve">Table 6. </w:t>
      </w:r>
      <w:r w:rsidRPr="0008356A">
        <w:rPr>
          <w:rFonts w:ascii="Arial" w:hAnsi="Arial" w:cs="Arial"/>
          <w:b/>
          <w:bCs/>
          <w:lang w:val="en-US"/>
        </w:rPr>
        <w:t>Classification Accuracy for Binary Logistic Regression Model</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2562"/>
        <w:gridCol w:w="2066"/>
      </w:tblGrid>
      <w:tr w:rsidR="0008356A" w:rsidRPr="00DE28C7" w14:paraId="731C18AD" w14:textId="77777777" w:rsidTr="0008356A">
        <w:trPr>
          <w:jc w:val="center"/>
        </w:trPr>
        <w:tc>
          <w:tcPr>
            <w:tcW w:w="0" w:type="auto"/>
            <w:vMerge w:val="restart"/>
            <w:vAlign w:val="center"/>
            <w:hideMark/>
          </w:tcPr>
          <w:p w14:paraId="09107467" w14:textId="77777777" w:rsidR="0008356A" w:rsidRPr="00DE28C7" w:rsidRDefault="0008356A" w:rsidP="000177A6">
            <w:pPr>
              <w:spacing w:line="360" w:lineRule="auto"/>
              <w:jc w:val="center"/>
              <w:rPr>
                <w:iCs/>
              </w:rPr>
            </w:pPr>
            <w:r w:rsidRPr="00DE28C7">
              <w:rPr>
                <w:iCs/>
              </w:rPr>
              <w:t>E-Marketplace</w:t>
            </w:r>
          </w:p>
        </w:tc>
        <w:tc>
          <w:tcPr>
            <w:tcW w:w="4628" w:type="dxa"/>
            <w:gridSpan w:val="2"/>
            <w:vAlign w:val="center"/>
            <w:hideMark/>
          </w:tcPr>
          <w:p w14:paraId="574E54E7" w14:textId="77777777" w:rsidR="0008356A" w:rsidRPr="00DE28C7" w:rsidRDefault="0008356A" w:rsidP="000177A6">
            <w:pPr>
              <w:spacing w:line="360" w:lineRule="auto"/>
              <w:jc w:val="center"/>
              <w:rPr>
                <w:iCs/>
              </w:rPr>
            </w:pPr>
            <w:r w:rsidRPr="00DE28C7">
              <w:rPr>
                <w:iCs/>
              </w:rPr>
              <w:t>Prediction</w:t>
            </w:r>
          </w:p>
        </w:tc>
      </w:tr>
      <w:tr w:rsidR="0008356A" w:rsidRPr="00DE28C7" w14:paraId="643CA283" w14:textId="77777777" w:rsidTr="0008356A">
        <w:trPr>
          <w:jc w:val="center"/>
        </w:trPr>
        <w:tc>
          <w:tcPr>
            <w:tcW w:w="0" w:type="auto"/>
            <w:vMerge/>
            <w:vAlign w:val="center"/>
            <w:hideMark/>
          </w:tcPr>
          <w:p w14:paraId="17EBA13B" w14:textId="77777777" w:rsidR="0008356A" w:rsidRPr="00DE28C7" w:rsidRDefault="0008356A" w:rsidP="000177A6">
            <w:pPr>
              <w:spacing w:line="360" w:lineRule="auto"/>
              <w:jc w:val="center"/>
              <w:rPr>
                <w:iCs/>
              </w:rPr>
            </w:pPr>
          </w:p>
        </w:tc>
        <w:tc>
          <w:tcPr>
            <w:tcW w:w="2562" w:type="dxa"/>
            <w:vAlign w:val="center"/>
            <w:hideMark/>
          </w:tcPr>
          <w:p w14:paraId="45951BFD" w14:textId="77777777" w:rsidR="0008356A" w:rsidRPr="00DE28C7" w:rsidRDefault="0008356A" w:rsidP="000177A6">
            <w:pPr>
              <w:spacing w:line="360" w:lineRule="auto"/>
              <w:jc w:val="center"/>
              <w:rPr>
                <w:iCs/>
              </w:rPr>
            </w:pPr>
            <w:r w:rsidRPr="00DE28C7">
              <w:rPr>
                <w:iCs/>
              </w:rPr>
              <w:t>Other E-marketplace (0)</w:t>
            </w:r>
          </w:p>
        </w:tc>
        <w:tc>
          <w:tcPr>
            <w:tcW w:w="2066" w:type="dxa"/>
            <w:vAlign w:val="center"/>
            <w:hideMark/>
          </w:tcPr>
          <w:p w14:paraId="045FA4A9" w14:textId="77777777" w:rsidR="0008356A" w:rsidRPr="00DE28C7" w:rsidRDefault="0008356A" w:rsidP="000177A6">
            <w:pPr>
              <w:spacing w:line="360" w:lineRule="auto"/>
              <w:jc w:val="center"/>
              <w:rPr>
                <w:iCs/>
              </w:rPr>
            </w:pPr>
            <w:r w:rsidRPr="00DE28C7">
              <w:rPr>
                <w:iCs/>
              </w:rPr>
              <w:t>Tokopedia (1)</w:t>
            </w:r>
          </w:p>
        </w:tc>
      </w:tr>
      <w:tr w:rsidR="0008356A" w:rsidRPr="00DE28C7" w14:paraId="2F944765" w14:textId="77777777" w:rsidTr="0008356A">
        <w:trPr>
          <w:jc w:val="center"/>
        </w:trPr>
        <w:tc>
          <w:tcPr>
            <w:tcW w:w="0" w:type="auto"/>
            <w:vAlign w:val="center"/>
            <w:hideMark/>
          </w:tcPr>
          <w:p w14:paraId="0533617F" w14:textId="77777777" w:rsidR="0008356A" w:rsidRPr="00DE28C7" w:rsidRDefault="0008356A" w:rsidP="000177A6">
            <w:pPr>
              <w:spacing w:line="360" w:lineRule="auto"/>
              <w:jc w:val="center"/>
              <w:rPr>
                <w:iCs/>
              </w:rPr>
            </w:pPr>
            <w:r w:rsidRPr="00DE28C7">
              <w:rPr>
                <w:iCs/>
              </w:rPr>
              <w:t>Other E-marketplace (0)</w:t>
            </w:r>
          </w:p>
        </w:tc>
        <w:tc>
          <w:tcPr>
            <w:tcW w:w="2562" w:type="dxa"/>
            <w:vAlign w:val="center"/>
            <w:hideMark/>
          </w:tcPr>
          <w:p w14:paraId="1F2FF9D0" w14:textId="77777777" w:rsidR="0008356A" w:rsidRPr="00DE28C7" w:rsidRDefault="0008356A" w:rsidP="000177A6">
            <w:pPr>
              <w:spacing w:line="360" w:lineRule="auto"/>
              <w:jc w:val="center"/>
              <w:rPr>
                <w:iCs/>
              </w:rPr>
            </w:pPr>
            <w:r w:rsidRPr="00DE28C7">
              <w:rPr>
                <w:iCs/>
              </w:rPr>
              <w:t>298</w:t>
            </w:r>
          </w:p>
        </w:tc>
        <w:tc>
          <w:tcPr>
            <w:tcW w:w="2066" w:type="dxa"/>
            <w:vAlign w:val="center"/>
            <w:hideMark/>
          </w:tcPr>
          <w:p w14:paraId="0E8F6EA4" w14:textId="77777777" w:rsidR="0008356A" w:rsidRPr="00DE28C7" w:rsidRDefault="0008356A" w:rsidP="000177A6">
            <w:pPr>
              <w:spacing w:line="360" w:lineRule="auto"/>
              <w:jc w:val="center"/>
              <w:rPr>
                <w:iCs/>
              </w:rPr>
            </w:pPr>
            <w:r w:rsidRPr="00DE28C7">
              <w:rPr>
                <w:iCs/>
              </w:rPr>
              <w:t>2</w:t>
            </w:r>
          </w:p>
        </w:tc>
      </w:tr>
      <w:tr w:rsidR="0008356A" w:rsidRPr="00F762BD" w14:paraId="285EE20D" w14:textId="77777777" w:rsidTr="0008356A">
        <w:trPr>
          <w:jc w:val="center"/>
        </w:trPr>
        <w:tc>
          <w:tcPr>
            <w:tcW w:w="0" w:type="auto"/>
            <w:vAlign w:val="center"/>
            <w:hideMark/>
          </w:tcPr>
          <w:p w14:paraId="6683C1E9" w14:textId="77777777" w:rsidR="0008356A" w:rsidRPr="00DE28C7" w:rsidRDefault="0008356A" w:rsidP="000177A6">
            <w:pPr>
              <w:spacing w:line="360" w:lineRule="auto"/>
              <w:jc w:val="center"/>
              <w:rPr>
                <w:iCs/>
              </w:rPr>
            </w:pPr>
            <w:r w:rsidRPr="00DE28C7">
              <w:rPr>
                <w:iCs/>
              </w:rPr>
              <w:t>Tokopedia (1)</w:t>
            </w:r>
          </w:p>
        </w:tc>
        <w:tc>
          <w:tcPr>
            <w:tcW w:w="2562" w:type="dxa"/>
            <w:vAlign w:val="center"/>
            <w:hideMark/>
          </w:tcPr>
          <w:p w14:paraId="67B2E7C7" w14:textId="77777777" w:rsidR="0008356A" w:rsidRPr="00DE28C7" w:rsidRDefault="0008356A" w:rsidP="000177A6">
            <w:pPr>
              <w:spacing w:line="360" w:lineRule="auto"/>
              <w:jc w:val="center"/>
              <w:rPr>
                <w:iCs/>
              </w:rPr>
            </w:pPr>
            <w:r w:rsidRPr="00DE28C7">
              <w:rPr>
                <w:iCs/>
              </w:rPr>
              <w:t>93</w:t>
            </w:r>
          </w:p>
        </w:tc>
        <w:tc>
          <w:tcPr>
            <w:tcW w:w="2066" w:type="dxa"/>
            <w:vAlign w:val="center"/>
            <w:hideMark/>
          </w:tcPr>
          <w:p w14:paraId="557298DB" w14:textId="77777777" w:rsidR="0008356A" w:rsidRPr="00DE28C7" w:rsidRDefault="0008356A" w:rsidP="000177A6">
            <w:pPr>
              <w:spacing w:line="360" w:lineRule="auto"/>
              <w:jc w:val="center"/>
              <w:rPr>
                <w:iCs/>
              </w:rPr>
            </w:pPr>
            <w:r w:rsidRPr="00DE28C7">
              <w:rPr>
                <w:iCs/>
              </w:rPr>
              <w:t>5</w:t>
            </w:r>
          </w:p>
        </w:tc>
      </w:tr>
    </w:tbl>
    <w:p w14:paraId="51D43F3F" w14:textId="7E873785" w:rsidR="0008356A" w:rsidRDefault="0008356A" w:rsidP="006C6575">
      <w:pPr>
        <w:contextualSpacing/>
        <w:jc w:val="both"/>
        <w:rPr>
          <w:rFonts w:ascii="Arial" w:eastAsia="Arial" w:hAnsi="Arial" w:cs="Arial"/>
          <w:b/>
          <w:bCs/>
          <w:sz w:val="22"/>
          <w:szCs w:val="22"/>
        </w:rPr>
      </w:pPr>
    </w:p>
    <w:p w14:paraId="2469F1EA" w14:textId="6ECA3ABF" w:rsidR="0008356A" w:rsidRPr="0008356A" w:rsidRDefault="0008356A" w:rsidP="006C6575">
      <w:pPr>
        <w:contextualSpacing/>
        <w:jc w:val="both"/>
        <w:rPr>
          <w:rFonts w:ascii="Arial" w:hAnsi="Arial" w:cs="Arial"/>
        </w:rPr>
      </w:pPr>
      <w:r w:rsidRPr="0008356A">
        <w:rPr>
          <w:rFonts w:ascii="Arial" w:hAnsi="Arial" w:cs="Arial"/>
        </w:rPr>
        <w:t>Based on the classification table above, 298 observations have an e-marketplace value equal to 0 and are predicted as 0 by the model. 2 observations have an e-marketplace value equal to 0 but are predicted as one by the model. Then 93 observations have an e-marketplace value equal to 1 but are predicted as 0 by the model, and five observations have an e-marketplace value equal to 1. They are predicted as one by the model.</w:t>
      </w:r>
    </w:p>
    <w:p w14:paraId="5F3CB70F" w14:textId="6A1FAD0D" w:rsidR="0008356A" w:rsidRDefault="0008356A" w:rsidP="006C6575">
      <w:pPr>
        <w:contextualSpacing/>
        <w:jc w:val="both"/>
        <w:rPr>
          <w:rFonts w:ascii="Arial" w:eastAsia="Arial" w:hAnsi="Arial" w:cs="Arial"/>
          <w:b/>
          <w:bCs/>
          <w:sz w:val="22"/>
          <w:szCs w:val="22"/>
        </w:rPr>
      </w:pPr>
    </w:p>
    <w:p w14:paraId="6C146374" w14:textId="77777777" w:rsidR="0008356A" w:rsidRPr="0008356A" w:rsidRDefault="0008356A" w:rsidP="0008356A">
      <w:pPr>
        <w:spacing w:line="360" w:lineRule="auto"/>
        <w:jc w:val="both"/>
        <w:rPr>
          <w:rFonts w:ascii="Arial" w:hAnsi="Arial" w:cs="Arial"/>
          <w:sz w:val="22"/>
          <w:szCs w:val="22"/>
        </w:rPr>
      </w:pPr>
      <m:oMath>
        <m:r>
          <w:rPr>
            <w:rFonts w:ascii="Cambria Math" w:hAnsi="Cambria Math" w:cs="Arial"/>
          </w:rPr>
          <m:t>APER =</m:t>
        </m:r>
        <m:f>
          <m:fPr>
            <m:ctrlPr>
              <w:rPr>
                <w:rFonts w:ascii="Cambria Math" w:hAnsi="Cambria Math" w:cs="Arial"/>
                <w:i/>
              </w:rPr>
            </m:ctrlPr>
          </m:fPr>
          <m:num>
            <m:r>
              <w:rPr>
                <w:rFonts w:ascii="Cambria Math" w:hAnsi="Cambria Math" w:cs="Arial"/>
              </w:rPr>
              <m:t>number of incorrect predictions</m:t>
            </m:r>
          </m:num>
          <m:den>
            <m:r>
              <w:rPr>
                <w:rFonts w:ascii="Cambria Math" w:hAnsi="Cambria Math" w:cs="Arial"/>
              </w:rPr>
              <m:t>total number of predictions</m:t>
            </m:r>
          </m:den>
        </m:f>
        <m:r>
          <w:rPr>
            <w:rFonts w:ascii="Cambria Math" w:hAnsi="Cambria Math" w:cs="Arial"/>
          </w:rPr>
          <m:t>×100%</m:t>
        </m:r>
      </m:oMath>
      <w:r w:rsidRPr="0008356A">
        <w:rPr>
          <w:rFonts w:ascii="Arial" w:hAnsi="Arial" w:cs="Arial"/>
        </w:rPr>
        <w:tab/>
      </w:r>
    </w:p>
    <w:p w14:paraId="6538506D" w14:textId="77777777" w:rsidR="0008356A" w:rsidRPr="0008356A" w:rsidRDefault="0008356A" w:rsidP="0008356A">
      <w:pPr>
        <w:pStyle w:val="ListParagraph"/>
        <w:spacing w:line="360" w:lineRule="auto"/>
        <w:ind w:left="0" w:firstLine="720"/>
        <w:jc w:val="both"/>
        <w:rPr>
          <w:rFonts w:ascii="Arial" w:hAnsi="Arial" w:cs="Arial"/>
        </w:rPr>
      </w:pPr>
      <m:oMath>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12</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21</m:t>
                </m:r>
              </m:sub>
            </m:sSub>
          </m:num>
          <m:den>
            <m:sSub>
              <m:sSubPr>
                <m:ctrlPr>
                  <w:rPr>
                    <w:rFonts w:ascii="Cambria Math" w:hAnsi="Cambria Math" w:cs="Arial"/>
                    <w:i/>
                  </w:rPr>
                </m:ctrlPr>
              </m:sSubPr>
              <m:e>
                <m:sSub>
                  <m:sSubPr>
                    <m:ctrlPr>
                      <w:rPr>
                        <w:rFonts w:ascii="Cambria Math" w:hAnsi="Cambria Math" w:cs="Arial"/>
                        <w:i/>
                      </w:rPr>
                    </m:ctrlPr>
                  </m:sSubPr>
                  <m:e>
                    <m:r>
                      <w:rPr>
                        <w:rFonts w:ascii="Cambria Math" w:hAnsi="Cambria Math" w:cs="Arial"/>
                      </w:rPr>
                      <m:t>n</m:t>
                    </m:r>
                  </m:e>
                  <m:sub>
                    <m:r>
                      <w:rPr>
                        <w:rFonts w:ascii="Cambria Math" w:hAnsi="Cambria Math" w:cs="Arial"/>
                      </w:rPr>
                      <m:t>11</m:t>
                    </m:r>
                  </m:sub>
                </m:sSub>
                <m:r>
                  <w:rPr>
                    <w:rFonts w:ascii="Cambria Math" w:hAnsi="Cambria Math" w:cs="Arial"/>
                  </w:rPr>
                  <m:t>+n</m:t>
                </m:r>
              </m:e>
              <m:sub>
                <m:r>
                  <w:rPr>
                    <w:rFonts w:ascii="Cambria Math" w:hAnsi="Cambria Math" w:cs="Arial"/>
                  </w:rPr>
                  <m:t>12</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21</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22</m:t>
                </m:r>
              </m:sub>
            </m:sSub>
          </m:den>
        </m:f>
        <m:r>
          <w:rPr>
            <w:rFonts w:ascii="Cambria Math" w:hAnsi="Cambria Math" w:cs="Arial"/>
          </w:rPr>
          <m:t>×100%</m:t>
        </m:r>
      </m:oMath>
      <w:r w:rsidRPr="0008356A">
        <w:rPr>
          <w:rFonts w:ascii="Arial" w:hAnsi="Arial" w:cs="Arial"/>
        </w:rPr>
        <w:t xml:space="preserve"> </w:t>
      </w:r>
    </w:p>
    <w:p w14:paraId="3C724608" w14:textId="77777777" w:rsidR="0008356A" w:rsidRPr="0008356A" w:rsidRDefault="0008356A" w:rsidP="0008356A">
      <w:pPr>
        <w:pStyle w:val="ListParagraph"/>
        <w:spacing w:line="360" w:lineRule="auto"/>
        <w:ind w:left="0" w:firstLine="720"/>
        <w:jc w:val="both"/>
        <w:rPr>
          <w:rFonts w:ascii="Arial" w:hAnsi="Arial" w:cs="Arial"/>
        </w:rPr>
      </w:pPr>
      <m:oMath>
        <m:r>
          <w:rPr>
            <w:rFonts w:ascii="Cambria Math" w:hAnsi="Cambria Math" w:cs="Arial"/>
          </w:rPr>
          <m:t>=</m:t>
        </m:r>
        <m:f>
          <m:fPr>
            <m:ctrlPr>
              <w:rPr>
                <w:rFonts w:ascii="Cambria Math" w:hAnsi="Cambria Math" w:cs="Arial"/>
                <w:i/>
              </w:rPr>
            </m:ctrlPr>
          </m:fPr>
          <m:num>
            <m:r>
              <w:rPr>
                <w:rFonts w:ascii="Cambria Math" w:hAnsi="Cambria Math" w:cs="Arial"/>
              </w:rPr>
              <m:t>2+93</m:t>
            </m:r>
          </m:num>
          <m:den>
            <m:r>
              <w:rPr>
                <w:rFonts w:ascii="Cambria Math" w:hAnsi="Cambria Math" w:cs="Arial"/>
              </w:rPr>
              <m:t>298+2+93+5</m:t>
            </m:r>
          </m:den>
        </m:f>
        <m:r>
          <w:rPr>
            <w:rFonts w:ascii="Cambria Math" w:hAnsi="Cambria Math" w:cs="Arial"/>
          </w:rPr>
          <m:t>×100%</m:t>
        </m:r>
      </m:oMath>
      <w:r w:rsidRPr="0008356A">
        <w:rPr>
          <w:rFonts w:ascii="Arial" w:hAnsi="Arial" w:cs="Arial"/>
        </w:rPr>
        <w:t xml:space="preserve"> </w:t>
      </w:r>
    </w:p>
    <w:p w14:paraId="06F571FC" w14:textId="77777777" w:rsidR="0008356A" w:rsidRPr="0008356A" w:rsidRDefault="0008356A" w:rsidP="0008356A">
      <w:pPr>
        <w:pStyle w:val="ListParagraph"/>
        <w:spacing w:line="360" w:lineRule="auto"/>
        <w:ind w:left="0" w:firstLine="720"/>
        <w:jc w:val="both"/>
        <w:rPr>
          <w:rFonts w:ascii="Arial" w:hAnsi="Arial" w:cs="Arial"/>
        </w:rPr>
      </w:pPr>
      <m:oMath>
        <m:r>
          <w:rPr>
            <w:rFonts w:ascii="Cambria Math" w:hAnsi="Cambria Math" w:cs="Arial"/>
          </w:rPr>
          <m:t>=0.2387</m:t>
        </m:r>
      </m:oMath>
      <w:r w:rsidRPr="0008356A">
        <w:rPr>
          <w:rFonts w:ascii="Arial" w:hAnsi="Arial" w:cs="Arial"/>
        </w:rPr>
        <w:t xml:space="preserve"> </w:t>
      </w:r>
    </w:p>
    <w:p w14:paraId="5C3EB0E0" w14:textId="764E0C4A" w:rsidR="0008356A" w:rsidRPr="0008356A" w:rsidRDefault="0008356A" w:rsidP="006C6575">
      <w:pPr>
        <w:contextualSpacing/>
        <w:jc w:val="both"/>
        <w:rPr>
          <w:rFonts w:ascii="Arial" w:eastAsia="Arial" w:hAnsi="Arial" w:cs="Arial"/>
          <w:b/>
          <w:bCs/>
          <w:sz w:val="22"/>
          <w:szCs w:val="22"/>
        </w:rPr>
      </w:pPr>
      <w:r w:rsidRPr="0008356A">
        <w:rPr>
          <w:rFonts w:ascii="Arial" w:hAnsi="Arial" w:cs="Arial"/>
        </w:rPr>
        <w:t>The percentage of classification error rate (accuracy) with the </w:t>
      </w:r>
      <w:r w:rsidRPr="0008356A">
        <w:rPr>
          <w:rStyle w:val="Emphasis"/>
          <w:rFonts w:ascii="Arial" w:hAnsi="Arial" w:cs="Arial"/>
          <w:color w:val="0E101A"/>
        </w:rPr>
        <w:t>Average Percentage Error</w:t>
      </w:r>
      <w:r w:rsidRPr="0008356A">
        <w:rPr>
          <w:rFonts w:ascii="Arial" w:hAnsi="Arial" w:cs="Arial"/>
        </w:rPr>
        <w:t xml:space="preserve"> (APER) method in the binary logistic regression model is 23.87%, so the percentage value of classification </w:t>
      </w:r>
      <w:r w:rsidRPr="0008356A">
        <w:rPr>
          <w:rFonts w:ascii="Arial" w:hAnsi="Arial" w:cs="Arial"/>
        </w:rPr>
        <w:lastRenderedPageBreak/>
        <w:t>accuracy is obtained. Then, the accuracy of classification was calculated to be equal to or equal to 76.13%.</w:t>
      </w:r>
    </w:p>
    <w:p w14:paraId="324B4FAA" w14:textId="63270666" w:rsidR="00A50AA7" w:rsidRPr="0008356A" w:rsidRDefault="0008356A" w:rsidP="0008356A">
      <w:pPr>
        <w:pStyle w:val="Heading1"/>
        <w:rPr>
          <w:rFonts w:ascii="Arial" w:eastAsia="Arial" w:hAnsi="Arial" w:cs="Arial"/>
          <w:b/>
          <w:bCs/>
          <w:sz w:val="22"/>
          <w:szCs w:val="22"/>
        </w:rPr>
      </w:pPr>
      <w:bookmarkStart w:id="5" w:name="_Toc157068549"/>
      <w:r w:rsidRPr="0008356A">
        <w:rPr>
          <w:rFonts w:ascii="Arial" w:hAnsi="Arial" w:cs="Arial"/>
          <w:b/>
          <w:bCs/>
          <w:color w:val="000000" w:themeColor="text1"/>
          <w:sz w:val="22"/>
          <w:szCs w:val="22"/>
        </w:rPr>
        <w:t>DISCUSSION</w:t>
      </w:r>
      <w:bookmarkEnd w:id="5"/>
    </w:p>
    <w:p w14:paraId="6A3681FC" w14:textId="18A529A3" w:rsidR="00A50AA7" w:rsidRDefault="00A50AA7">
      <w:pPr>
        <w:jc w:val="both"/>
        <w:rPr>
          <w:rFonts w:ascii="Arial" w:eastAsia="Arial" w:hAnsi="Arial" w:cs="Arial"/>
          <w:b/>
          <w:sz w:val="22"/>
          <w:szCs w:val="22"/>
        </w:rPr>
      </w:pPr>
    </w:p>
    <w:p w14:paraId="74D61F4D" w14:textId="6CB35D55" w:rsidR="006A5617" w:rsidRPr="005F6674" w:rsidRDefault="006A5617">
      <w:pPr>
        <w:jc w:val="both"/>
        <w:rPr>
          <w:rFonts w:ascii="Arial" w:hAnsi="Arial" w:cs="Arial"/>
        </w:rPr>
      </w:pPr>
      <w:r w:rsidRPr="005F6674">
        <w:rPr>
          <w:rFonts w:ascii="Arial" w:hAnsi="Arial" w:cs="Arial"/>
        </w:rPr>
        <w:t>The binary logistic regression model aims to determine the influence between factors that influence the selection of e-marketplaces in Indonesia. After forming 9 models to obtain the best model, the best model was obtained by removing several factors until the remaining six variables, namely ease of use (X1.1), product (X1.3), service operation (X1.4, platform (X1.7), product reviews (X1.8), and technology (X2.4). Through this model, it is known that the seller's selection of e-marketplace is influenced by product, platform, and product reviews. Based on this model, 3 significant variables were obtained in the e-marketplace selection model, namely product, platform, and product reviews. The model has a classification accuracy of 76.13% which means indicating that the binary logistic regression model is suitable for predicting e-marketplace selection in Indonesia. In this model, e-marketplace selection is influenced by product, platform, and product review factors.</w:t>
      </w:r>
    </w:p>
    <w:p w14:paraId="133B0A6A" w14:textId="57857893" w:rsidR="0008356A" w:rsidRDefault="0008356A">
      <w:pPr>
        <w:jc w:val="both"/>
        <w:rPr>
          <w:rFonts w:ascii="Arial" w:eastAsia="Arial" w:hAnsi="Arial" w:cs="Arial"/>
          <w:b/>
          <w:sz w:val="22"/>
          <w:szCs w:val="22"/>
        </w:rPr>
      </w:pPr>
    </w:p>
    <w:p w14:paraId="16BAD493" w14:textId="1DC6B6CF" w:rsidR="006A5617" w:rsidRPr="0008356A" w:rsidRDefault="006A5617" w:rsidP="006A5617">
      <w:pPr>
        <w:pStyle w:val="Heading1"/>
        <w:rPr>
          <w:rFonts w:ascii="Arial" w:eastAsia="Arial" w:hAnsi="Arial" w:cs="Arial"/>
          <w:b/>
          <w:bCs/>
          <w:sz w:val="22"/>
          <w:szCs w:val="22"/>
        </w:rPr>
      </w:pPr>
      <w:r>
        <w:rPr>
          <w:rFonts w:ascii="Arial" w:hAnsi="Arial" w:cs="Arial"/>
          <w:b/>
          <w:bCs/>
          <w:color w:val="000000" w:themeColor="text1"/>
          <w:sz w:val="22"/>
          <w:szCs w:val="22"/>
        </w:rPr>
        <w:t>CONCLUSION</w:t>
      </w:r>
    </w:p>
    <w:p w14:paraId="366F95F1" w14:textId="4DEC6F04" w:rsidR="006A5617" w:rsidRPr="005F6674" w:rsidRDefault="005F6674">
      <w:pPr>
        <w:jc w:val="both"/>
        <w:rPr>
          <w:rFonts w:ascii="Arial" w:eastAsia="Arial" w:hAnsi="Arial" w:cs="Arial"/>
          <w:bCs/>
        </w:rPr>
      </w:pPr>
      <w:r w:rsidRPr="005F6674">
        <w:rPr>
          <w:rFonts w:ascii="Arial" w:eastAsia="Arial" w:hAnsi="Arial" w:cs="Arial"/>
          <w:bCs/>
        </w:rPr>
        <w:t>This study analyses binary logistic regression for overall e-marketplace selection. Based on this model, the model feasibility was obtained at 76.13%. These results indicate that the binary logistic regression model is suitable for predicting e-marketplace selection in Indonesia. In this model, e-marketplace selection is influenced by product, platform and product reviews.</w:t>
      </w:r>
    </w:p>
    <w:p w14:paraId="59C2C0F5" w14:textId="1F715CD5" w:rsidR="0008356A" w:rsidRDefault="0008356A">
      <w:pPr>
        <w:jc w:val="both"/>
        <w:rPr>
          <w:rFonts w:ascii="Arial" w:eastAsia="Arial" w:hAnsi="Arial" w:cs="Arial"/>
          <w:b/>
          <w:sz w:val="22"/>
          <w:szCs w:val="22"/>
        </w:rPr>
      </w:pPr>
    </w:p>
    <w:p w14:paraId="5B032B72" w14:textId="2C7794DC" w:rsidR="0008356A" w:rsidRDefault="005F6674">
      <w:pPr>
        <w:jc w:val="both"/>
        <w:rPr>
          <w:rFonts w:ascii="Arial" w:eastAsia="Arial" w:hAnsi="Arial" w:cs="Arial"/>
          <w:b/>
          <w:sz w:val="22"/>
          <w:szCs w:val="22"/>
        </w:rPr>
      </w:pPr>
      <w:r>
        <w:rPr>
          <w:rFonts w:ascii="Arial" w:hAnsi="Arial" w:cs="Arial"/>
          <w:b/>
          <w:bCs/>
          <w:color w:val="000000" w:themeColor="text1"/>
          <w:sz w:val="22"/>
          <w:szCs w:val="22"/>
        </w:rPr>
        <w:t>REFERENCE</w:t>
      </w:r>
    </w:p>
    <w:bookmarkStart w:id="6" w:name="_GoBack"/>
    <w:p w14:paraId="47A957E9" w14:textId="71F4A395" w:rsidR="00907A9C" w:rsidRPr="008273CA" w:rsidRDefault="005F6674" w:rsidP="00907A9C">
      <w:pPr>
        <w:widowControl w:val="0"/>
        <w:autoSpaceDE w:val="0"/>
        <w:autoSpaceDN w:val="0"/>
        <w:adjustRightInd w:val="0"/>
        <w:ind w:left="480" w:hanging="480"/>
        <w:jc w:val="both"/>
        <w:rPr>
          <w:rFonts w:ascii="Arial" w:hAnsi="Arial" w:cs="Arial"/>
          <w:noProof/>
          <w:lang w:val="en-US"/>
        </w:rPr>
      </w:pPr>
      <w:r w:rsidRPr="008273CA">
        <w:rPr>
          <w:rFonts w:ascii="Arial" w:eastAsia="Arial" w:hAnsi="Arial" w:cs="Arial"/>
          <w:b/>
          <w:szCs w:val="22"/>
        </w:rPr>
        <w:fldChar w:fldCharType="begin" w:fldLock="1"/>
      </w:r>
      <w:r w:rsidRPr="008273CA">
        <w:rPr>
          <w:rFonts w:ascii="Arial" w:eastAsia="Arial" w:hAnsi="Arial" w:cs="Arial"/>
          <w:b/>
          <w:szCs w:val="22"/>
        </w:rPr>
        <w:instrText xml:space="preserve">ADDIN Mendeley Bibliography CSL_BIBLIOGRAPHY </w:instrText>
      </w:r>
      <w:r w:rsidRPr="008273CA">
        <w:rPr>
          <w:rFonts w:ascii="Arial" w:eastAsia="Arial" w:hAnsi="Arial" w:cs="Arial"/>
          <w:b/>
          <w:szCs w:val="22"/>
        </w:rPr>
        <w:fldChar w:fldCharType="separate"/>
      </w:r>
      <w:r w:rsidR="00907A9C" w:rsidRPr="008273CA">
        <w:rPr>
          <w:rFonts w:ascii="Arial" w:hAnsi="Arial" w:cs="Arial"/>
          <w:noProof/>
          <w:lang w:val="en-US"/>
        </w:rPr>
        <w:t xml:space="preserve">Andarwati, M., Assih, P., Amrullah, F., Putri, D. M., &amp; Thamrin, E. (2020). Success of Small and Medium Enterprices (SMEs): Actual Technology Use in e-Marketplace Based on Technology Acceptance Model (TAM) Analysis. </w:t>
      </w:r>
      <w:r w:rsidR="00907A9C" w:rsidRPr="008273CA">
        <w:rPr>
          <w:rFonts w:ascii="Arial" w:hAnsi="Arial" w:cs="Arial"/>
          <w:i/>
          <w:iCs/>
          <w:noProof/>
          <w:lang w:val="en-US"/>
        </w:rPr>
        <w:t>Proceedings - 2020 6th International Conference on Education and Technology, ICET 2020</w:t>
      </w:r>
      <w:r w:rsidR="00907A9C" w:rsidRPr="008273CA">
        <w:rPr>
          <w:rFonts w:ascii="Arial" w:hAnsi="Arial" w:cs="Arial"/>
          <w:noProof/>
          <w:lang w:val="en-US"/>
        </w:rPr>
        <w:t>, 142–147. https://doi.org/10.1109/ICET51153.2020.9276594</w:t>
      </w:r>
    </w:p>
    <w:p w14:paraId="469E513F"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Arif, M., Suseno, J. E., &amp; Isnanto, R. R. (2020). Multi-Criteria Decision Making with the VIKOR and SMARTER Methods for Optimal Seller Selection from Several E-Marketplaces. </w:t>
      </w:r>
      <w:r w:rsidRPr="008273CA">
        <w:rPr>
          <w:rFonts w:ascii="Arial" w:hAnsi="Arial" w:cs="Arial"/>
          <w:i/>
          <w:iCs/>
          <w:noProof/>
          <w:lang w:val="en-US"/>
        </w:rPr>
        <w:t>E3S Web of Conferences</w:t>
      </w:r>
      <w:r w:rsidRPr="008273CA">
        <w:rPr>
          <w:rFonts w:ascii="Arial" w:hAnsi="Arial" w:cs="Arial"/>
          <w:noProof/>
          <w:lang w:val="en-US"/>
        </w:rPr>
        <w:t xml:space="preserve">, </w:t>
      </w:r>
      <w:r w:rsidRPr="008273CA">
        <w:rPr>
          <w:rFonts w:ascii="Arial" w:hAnsi="Arial" w:cs="Arial"/>
          <w:i/>
          <w:iCs/>
          <w:noProof/>
          <w:lang w:val="en-US"/>
        </w:rPr>
        <w:t>202</w:t>
      </w:r>
      <w:r w:rsidRPr="008273CA">
        <w:rPr>
          <w:rFonts w:ascii="Arial" w:hAnsi="Arial" w:cs="Arial"/>
          <w:noProof/>
          <w:lang w:val="en-US"/>
        </w:rPr>
        <w:t>, 1–10. https://doi.org/10.1051/e3sconf/202020214002</w:t>
      </w:r>
    </w:p>
    <w:p w14:paraId="429FC24A"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Babenko, V., Kulczyk, Z., Perevosova, I., Syniavska, O., &amp; Davydova, O. (2019). Factors of the development of international e-commerce under the conditions of globalization. </w:t>
      </w:r>
      <w:r w:rsidRPr="008273CA">
        <w:rPr>
          <w:rFonts w:ascii="Arial" w:hAnsi="Arial" w:cs="Arial"/>
          <w:i/>
          <w:iCs/>
          <w:noProof/>
          <w:lang w:val="en-US"/>
        </w:rPr>
        <w:t>SHS Web of Conferences</w:t>
      </w:r>
      <w:r w:rsidRPr="008273CA">
        <w:rPr>
          <w:rFonts w:ascii="Arial" w:hAnsi="Arial" w:cs="Arial"/>
          <w:noProof/>
          <w:lang w:val="en-US"/>
        </w:rPr>
        <w:t xml:space="preserve">, </w:t>
      </w:r>
      <w:r w:rsidRPr="008273CA">
        <w:rPr>
          <w:rFonts w:ascii="Arial" w:hAnsi="Arial" w:cs="Arial"/>
          <w:i/>
          <w:iCs/>
          <w:noProof/>
          <w:lang w:val="en-US"/>
        </w:rPr>
        <w:t>65</w:t>
      </w:r>
      <w:r w:rsidRPr="008273CA">
        <w:rPr>
          <w:rFonts w:ascii="Arial" w:hAnsi="Arial" w:cs="Arial"/>
          <w:noProof/>
          <w:lang w:val="en-US"/>
        </w:rPr>
        <w:t>, 04016. https://doi.org/10.1051/shsconf/20196504016</w:t>
      </w:r>
    </w:p>
    <w:p w14:paraId="05ED7A03"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Candraputri, A. M., Gunawan, A. C., Abdussalam, F., R. Kaburuan, E., Sfenrianto, &amp; Wang, G. (2020). Analysis of Factors that are Affecting to Customer Loyalty in Online to Offline E-Commerce Case Study at XYZ E-Marketplace. </w:t>
      </w:r>
      <w:r w:rsidRPr="008273CA">
        <w:rPr>
          <w:rFonts w:ascii="Arial" w:hAnsi="Arial" w:cs="Arial"/>
          <w:i/>
          <w:iCs/>
          <w:noProof/>
          <w:lang w:val="en-US"/>
        </w:rPr>
        <w:t>International Journal of Advanced Science and Technology</w:t>
      </w:r>
      <w:r w:rsidRPr="008273CA">
        <w:rPr>
          <w:rFonts w:ascii="Arial" w:hAnsi="Arial" w:cs="Arial"/>
          <w:noProof/>
          <w:lang w:val="en-US"/>
        </w:rPr>
        <w:t xml:space="preserve">, </w:t>
      </w:r>
      <w:r w:rsidRPr="008273CA">
        <w:rPr>
          <w:rFonts w:ascii="Arial" w:hAnsi="Arial" w:cs="Arial"/>
          <w:i/>
          <w:iCs/>
          <w:noProof/>
          <w:lang w:val="en-US"/>
        </w:rPr>
        <w:t>29</w:t>
      </w:r>
      <w:r w:rsidRPr="008273CA">
        <w:rPr>
          <w:rFonts w:ascii="Arial" w:hAnsi="Arial" w:cs="Arial"/>
          <w:noProof/>
          <w:lang w:val="en-US"/>
        </w:rPr>
        <w:t>(6), 5549–5567.</w:t>
      </w:r>
    </w:p>
    <w:p w14:paraId="026E7280"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Chang, Y. Y., Lin, S. C., Yen, D. C., &amp; Hung, J. W. (2020). The trust model of enterprise purchasing for B2B e-marketplaces. </w:t>
      </w:r>
      <w:r w:rsidRPr="008273CA">
        <w:rPr>
          <w:rFonts w:ascii="Arial" w:hAnsi="Arial" w:cs="Arial"/>
          <w:i/>
          <w:iCs/>
          <w:noProof/>
          <w:lang w:val="en-US"/>
        </w:rPr>
        <w:t>Computer Standards and Interfaces</w:t>
      </w:r>
      <w:r w:rsidRPr="008273CA">
        <w:rPr>
          <w:rFonts w:ascii="Arial" w:hAnsi="Arial" w:cs="Arial"/>
          <w:noProof/>
          <w:lang w:val="en-US"/>
        </w:rPr>
        <w:t xml:space="preserve">, </w:t>
      </w:r>
      <w:r w:rsidRPr="008273CA">
        <w:rPr>
          <w:rFonts w:ascii="Arial" w:hAnsi="Arial" w:cs="Arial"/>
          <w:i/>
          <w:iCs/>
          <w:noProof/>
          <w:lang w:val="en-US"/>
        </w:rPr>
        <w:t>70</w:t>
      </w:r>
      <w:r w:rsidRPr="008273CA">
        <w:rPr>
          <w:rFonts w:ascii="Arial" w:hAnsi="Arial" w:cs="Arial"/>
          <w:noProof/>
          <w:lang w:val="en-US"/>
        </w:rPr>
        <w:t>(February), 103422. https://doi.org/10.1016/j.csi.2020.103422</w:t>
      </w:r>
    </w:p>
    <w:p w14:paraId="622B4ED2"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Chong, W. K., Man, K. L., &amp; Kim, M. (2018). The impact of e-marketing orientation on performance in Asian SMEs: a B2B perspective. </w:t>
      </w:r>
      <w:r w:rsidRPr="008273CA">
        <w:rPr>
          <w:rFonts w:ascii="Arial" w:hAnsi="Arial" w:cs="Arial"/>
          <w:i/>
          <w:iCs/>
          <w:noProof/>
          <w:lang w:val="en-US"/>
        </w:rPr>
        <w:t>Enterprise Information Systems</w:t>
      </w:r>
      <w:r w:rsidRPr="008273CA">
        <w:rPr>
          <w:rFonts w:ascii="Arial" w:hAnsi="Arial" w:cs="Arial"/>
          <w:noProof/>
          <w:lang w:val="en-US"/>
        </w:rPr>
        <w:t xml:space="preserve">, </w:t>
      </w:r>
      <w:r w:rsidRPr="008273CA">
        <w:rPr>
          <w:rFonts w:ascii="Arial" w:hAnsi="Arial" w:cs="Arial"/>
          <w:i/>
          <w:iCs/>
          <w:noProof/>
          <w:lang w:val="en-US"/>
        </w:rPr>
        <w:t>12</w:t>
      </w:r>
      <w:r w:rsidRPr="008273CA">
        <w:rPr>
          <w:rFonts w:ascii="Arial" w:hAnsi="Arial" w:cs="Arial"/>
          <w:noProof/>
          <w:lang w:val="en-US"/>
        </w:rPr>
        <w:t>(1), 4–18. https://doi.org/10.1080/17517575.2016.1177205</w:t>
      </w:r>
    </w:p>
    <w:p w14:paraId="327BC295"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Falahat, M., Lee, Y. Y., Foo, Y. C., &amp; Chia, C. E. (2019). A model for consumer trust in E-commerce. </w:t>
      </w:r>
      <w:r w:rsidRPr="008273CA">
        <w:rPr>
          <w:rFonts w:ascii="Arial" w:hAnsi="Arial" w:cs="Arial"/>
          <w:i/>
          <w:iCs/>
          <w:noProof/>
          <w:lang w:val="en-US"/>
        </w:rPr>
        <w:t>Asian Academy of Management Journal</w:t>
      </w:r>
      <w:r w:rsidRPr="008273CA">
        <w:rPr>
          <w:rFonts w:ascii="Arial" w:hAnsi="Arial" w:cs="Arial"/>
          <w:noProof/>
          <w:lang w:val="en-US"/>
        </w:rPr>
        <w:t xml:space="preserve">, </w:t>
      </w:r>
      <w:r w:rsidRPr="008273CA">
        <w:rPr>
          <w:rFonts w:ascii="Arial" w:hAnsi="Arial" w:cs="Arial"/>
          <w:i/>
          <w:iCs/>
          <w:noProof/>
          <w:lang w:val="en-US"/>
        </w:rPr>
        <w:t>24</w:t>
      </w:r>
      <w:r w:rsidRPr="008273CA">
        <w:rPr>
          <w:rFonts w:ascii="Arial" w:hAnsi="Arial" w:cs="Arial"/>
          <w:noProof/>
          <w:lang w:val="en-US"/>
        </w:rPr>
        <w:t>, 93–109. https://doi.org/10.21315/aamj2019.24.s2.7</w:t>
      </w:r>
    </w:p>
    <w:p w14:paraId="50E49503"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Ghozali, I. (2018). </w:t>
      </w:r>
      <w:r w:rsidRPr="008273CA">
        <w:rPr>
          <w:rFonts w:ascii="Arial" w:hAnsi="Arial" w:cs="Arial"/>
          <w:i/>
          <w:iCs/>
          <w:noProof/>
          <w:lang w:val="en-US"/>
        </w:rPr>
        <w:t>Multivariate Analysis Application with IBM SPSS 25 Program</w:t>
      </w:r>
      <w:r w:rsidRPr="008273CA">
        <w:rPr>
          <w:rFonts w:ascii="Arial" w:hAnsi="Arial" w:cs="Arial"/>
          <w:noProof/>
          <w:lang w:val="en-US"/>
        </w:rPr>
        <w:t>. Badan Penerbit Universitas Diponegoro.</w:t>
      </w:r>
    </w:p>
    <w:p w14:paraId="6C35677C"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Hair Jr, J., Black, W. C., Babin, B. J., &amp; Anderson, R. E. (2010). </w:t>
      </w:r>
      <w:r w:rsidRPr="008273CA">
        <w:rPr>
          <w:rFonts w:ascii="Arial" w:hAnsi="Arial" w:cs="Arial"/>
          <w:i/>
          <w:iCs/>
          <w:noProof/>
          <w:lang w:val="en-US"/>
        </w:rPr>
        <w:t>Multivariate Data Analysis</w:t>
      </w:r>
      <w:r w:rsidRPr="008273CA">
        <w:rPr>
          <w:rFonts w:ascii="Arial" w:hAnsi="Arial" w:cs="Arial"/>
          <w:noProof/>
          <w:lang w:val="en-US"/>
        </w:rPr>
        <w:t xml:space="preserve"> (7th ed.). Pearson Education.</w:t>
      </w:r>
    </w:p>
    <w:p w14:paraId="57CFE041"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Hatammimi, J., &amp; Purnama, S. D. (2022). Factors affecting prospective entrepreneurs to utilize e-marketplace: A study of business school students in Indonesia. </w:t>
      </w:r>
      <w:r w:rsidRPr="008273CA">
        <w:rPr>
          <w:rFonts w:ascii="Arial" w:hAnsi="Arial" w:cs="Arial"/>
          <w:i/>
          <w:iCs/>
          <w:noProof/>
          <w:lang w:val="en-US"/>
        </w:rPr>
        <w:t>… Journal of Research in Business and …</w:t>
      </w:r>
      <w:r w:rsidRPr="008273CA">
        <w:rPr>
          <w:rFonts w:ascii="Arial" w:hAnsi="Arial" w:cs="Arial"/>
          <w:noProof/>
          <w:lang w:val="en-US"/>
        </w:rPr>
        <w:t xml:space="preserve">, </w:t>
      </w:r>
      <w:r w:rsidRPr="008273CA">
        <w:rPr>
          <w:rFonts w:ascii="Arial" w:hAnsi="Arial" w:cs="Arial"/>
          <w:i/>
          <w:iCs/>
          <w:noProof/>
          <w:lang w:val="en-US"/>
        </w:rPr>
        <w:t>11</w:t>
      </w:r>
      <w:r w:rsidRPr="008273CA">
        <w:rPr>
          <w:rFonts w:ascii="Arial" w:hAnsi="Arial" w:cs="Arial"/>
          <w:noProof/>
          <w:lang w:val="en-US"/>
        </w:rPr>
        <w:t>(1), 1–11. http://www.ssbfnet.com/ojs/index.php/ijrbs/article/view/1573%0Ahttp://www.ssbfnet.com/ojs/index.php/ijrbs/article/download/1573/1131</w:t>
      </w:r>
    </w:p>
    <w:p w14:paraId="5CDB0024"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Kawa, A. (2019). </w:t>
      </w:r>
      <w:r w:rsidRPr="008273CA">
        <w:rPr>
          <w:rFonts w:ascii="Arial" w:hAnsi="Arial" w:cs="Arial"/>
          <w:i/>
          <w:iCs/>
          <w:noProof/>
          <w:lang w:val="en-US"/>
        </w:rPr>
        <w:t>LogForum</w:t>
      </w:r>
      <w:r w:rsidRPr="008273CA">
        <w:rPr>
          <w:rFonts w:ascii="Arial" w:hAnsi="Arial" w:cs="Arial"/>
          <w:noProof/>
          <w:lang w:val="en-US"/>
        </w:rPr>
        <w:t xml:space="preserve">. </w:t>
      </w:r>
      <w:r w:rsidRPr="008273CA">
        <w:rPr>
          <w:rFonts w:ascii="Arial" w:hAnsi="Arial" w:cs="Arial"/>
          <w:i/>
          <w:iCs/>
          <w:noProof/>
          <w:lang w:val="en-US"/>
        </w:rPr>
        <w:t>15</w:t>
      </w:r>
      <w:r w:rsidRPr="008273CA">
        <w:rPr>
          <w:rFonts w:ascii="Arial" w:hAnsi="Arial" w:cs="Arial"/>
          <w:noProof/>
          <w:lang w:val="en-US"/>
        </w:rPr>
        <w:t>(4), 521–529.</w:t>
      </w:r>
    </w:p>
    <w:p w14:paraId="58A15FCF"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Knekta, E., Runyon, C., &amp; Eddy, S. (2019). One size doesn’t fit all: Using factor analysis to gather </w:t>
      </w:r>
      <w:r w:rsidRPr="008273CA">
        <w:rPr>
          <w:rFonts w:ascii="Arial" w:hAnsi="Arial" w:cs="Arial"/>
          <w:noProof/>
          <w:lang w:val="en-US"/>
        </w:rPr>
        <w:lastRenderedPageBreak/>
        <w:t xml:space="preserve">validity evidence when using surveys in your research. </w:t>
      </w:r>
      <w:r w:rsidRPr="008273CA">
        <w:rPr>
          <w:rFonts w:ascii="Arial" w:hAnsi="Arial" w:cs="Arial"/>
          <w:i/>
          <w:iCs/>
          <w:noProof/>
          <w:lang w:val="en-US"/>
        </w:rPr>
        <w:t>CBE Life Sciences Education</w:t>
      </w:r>
      <w:r w:rsidRPr="008273CA">
        <w:rPr>
          <w:rFonts w:ascii="Arial" w:hAnsi="Arial" w:cs="Arial"/>
          <w:noProof/>
          <w:lang w:val="en-US"/>
        </w:rPr>
        <w:t xml:space="preserve">, </w:t>
      </w:r>
      <w:r w:rsidRPr="008273CA">
        <w:rPr>
          <w:rFonts w:ascii="Arial" w:hAnsi="Arial" w:cs="Arial"/>
          <w:i/>
          <w:iCs/>
          <w:noProof/>
          <w:lang w:val="en-US"/>
        </w:rPr>
        <w:t>18</w:t>
      </w:r>
      <w:r w:rsidRPr="008273CA">
        <w:rPr>
          <w:rFonts w:ascii="Arial" w:hAnsi="Arial" w:cs="Arial"/>
          <w:noProof/>
          <w:lang w:val="en-US"/>
        </w:rPr>
        <w:t>(1), 1–17. https://doi.org/10.1187/cbe.18-04-0064</w:t>
      </w:r>
    </w:p>
    <w:p w14:paraId="41E57645"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Marlinda, L., Durachman, Y., Zuraidah, E., Tukino, Widivawati, &amp; Hanadwiputra, S. (2020). Selection of E-Marketplaces Factors Affecting Indonesian Women’s Business Loyalty Using Simple Multi-Attribute Rating Technique (SMART) Method. </w:t>
      </w:r>
      <w:r w:rsidRPr="008273CA">
        <w:rPr>
          <w:rFonts w:ascii="Arial" w:hAnsi="Arial" w:cs="Arial"/>
          <w:i/>
          <w:iCs/>
          <w:noProof/>
          <w:lang w:val="en-US"/>
        </w:rPr>
        <w:t>2020 8th International Conference on Cyber and IT Service Management, CITSM 2020</w:t>
      </w:r>
      <w:r w:rsidRPr="008273CA">
        <w:rPr>
          <w:rFonts w:ascii="Arial" w:hAnsi="Arial" w:cs="Arial"/>
          <w:noProof/>
          <w:lang w:val="en-US"/>
        </w:rPr>
        <w:t>. https://doi.org/10.1109/CITSM50537.2020.9268823</w:t>
      </w:r>
    </w:p>
    <w:p w14:paraId="1AF70864"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Prihastomo, Y., Meyliana, Hidayanto, A. N., &amp; Prabowo, H. (2018). The Key Success Factors in E-Marketplace Implementation: A Systematic Literature Review. </w:t>
      </w:r>
      <w:r w:rsidRPr="008273CA">
        <w:rPr>
          <w:rFonts w:ascii="Arial" w:hAnsi="Arial" w:cs="Arial"/>
          <w:i/>
          <w:iCs/>
          <w:noProof/>
          <w:lang w:val="en-US"/>
        </w:rPr>
        <w:t>Proceedings of 2018 International Conference on Information Management and Technology, ICIMTech 2018</w:t>
      </w:r>
      <w:r w:rsidRPr="008273CA">
        <w:rPr>
          <w:rFonts w:ascii="Arial" w:hAnsi="Arial" w:cs="Arial"/>
          <w:noProof/>
          <w:lang w:val="en-US"/>
        </w:rPr>
        <w:t xml:space="preserve">, </w:t>
      </w:r>
      <w:r w:rsidRPr="008273CA">
        <w:rPr>
          <w:rFonts w:ascii="Arial" w:hAnsi="Arial" w:cs="Arial"/>
          <w:i/>
          <w:iCs/>
          <w:noProof/>
          <w:lang w:val="en-US"/>
        </w:rPr>
        <w:t>September</w:t>
      </w:r>
      <w:r w:rsidRPr="008273CA">
        <w:rPr>
          <w:rFonts w:ascii="Arial" w:hAnsi="Arial" w:cs="Arial"/>
          <w:noProof/>
          <w:lang w:val="en-US"/>
        </w:rPr>
        <w:t>, 443–448. https://doi.org/10.1109/ICIMTech.2018.8528189</w:t>
      </w:r>
    </w:p>
    <w:p w14:paraId="12099735"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Rerung, R. (2018). </w:t>
      </w:r>
      <w:r w:rsidRPr="008273CA">
        <w:rPr>
          <w:rFonts w:ascii="Arial" w:hAnsi="Arial" w:cs="Arial"/>
          <w:i/>
          <w:iCs/>
          <w:noProof/>
          <w:lang w:val="en-US"/>
        </w:rPr>
        <w:t>E-commerce</w:t>
      </w:r>
      <w:r w:rsidRPr="008273CA">
        <w:rPr>
          <w:rFonts w:ascii="Arial" w:hAnsi="Arial" w:cs="Arial"/>
          <w:noProof/>
          <w:lang w:val="en-US"/>
        </w:rPr>
        <w:t>. Deepublish.</w:t>
      </w:r>
    </w:p>
    <w:p w14:paraId="14FA8C8C"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Rofin, T. M., &amp; Mahanty, B. (2021). Fulfillment mode selection for Indian online sellers under free and flat rate shipping policies. In </w:t>
      </w:r>
      <w:r w:rsidRPr="008273CA">
        <w:rPr>
          <w:rFonts w:ascii="Arial" w:hAnsi="Arial" w:cs="Arial"/>
          <w:i/>
          <w:iCs/>
          <w:noProof/>
          <w:lang w:val="en-US"/>
        </w:rPr>
        <w:t>Electronic Commerce Research</w:t>
      </w:r>
      <w:r w:rsidRPr="008273CA">
        <w:rPr>
          <w:rFonts w:ascii="Arial" w:hAnsi="Arial" w:cs="Arial"/>
          <w:noProof/>
          <w:lang w:val="en-US"/>
        </w:rPr>
        <w:t xml:space="preserve"> (Vol. 21, Issue 2). Springer US. https://doi.org/10.1007/s10660-019-09348-5</w:t>
      </w:r>
    </w:p>
    <w:p w14:paraId="6AEE847D"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Sahel, S., Anwar, T., &amp; Nandi, B. (2018). Factors Affecting the Selection of an E-Commerce Website in Bangladesh : E-tailers ’ Perspective. </w:t>
      </w:r>
      <w:r w:rsidRPr="008273CA">
        <w:rPr>
          <w:rFonts w:ascii="Arial" w:hAnsi="Arial" w:cs="Arial"/>
          <w:i/>
          <w:iCs/>
          <w:noProof/>
          <w:lang w:val="en-US"/>
        </w:rPr>
        <w:t>International Review of Management and Marketing</w:t>
      </w:r>
      <w:r w:rsidRPr="008273CA">
        <w:rPr>
          <w:rFonts w:ascii="Arial" w:hAnsi="Arial" w:cs="Arial"/>
          <w:noProof/>
          <w:lang w:val="en-US"/>
        </w:rPr>
        <w:t xml:space="preserve">, </w:t>
      </w:r>
      <w:r w:rsidRPr="008273CA">
        <w:rPr>
          <w:rFonts w:ascii="Arial" w:hAnsi="Arial" w:cs="Arial"/>
          <w:i/>
          <w:iCs/>
          <w:noProof/>
          <w:lang w:val="en-US"/>
        </w:rPr>
        <w:t>8</w:t>
      </w:r>
      <w:r w:rsidRPr="008273CA">
        <w:rPr>
          <w:rFonts w:ascii="Arial" w:hAnsi="Arial" w:cs="Arial"/>
          <w:noProof/>
          <w:lang w:val="en-US"/>
        </w:rPr>
        <w:t>(4), 1–6.</w:t>
      </w:r>
    </w:p>
    <w:p w14:paraId="5B5DA100"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Sundjaja, A. M., Shukurnianto, D., Rulvi, A. P., &amp; Putra, R. H. (2021). Factors Affecting Buyer Satisfaction of Coffee Beans at the Online Marketplace in Indonesia. </w:t>
      </w:r>
      <w:r w:rsidRPr="008273CA">
        <w:rPr>
          <w:rFonts w:ascii="Arial" w:hAnsi="Arial" w:cs="Arial"/>
          <w:i/>
          <w:iCs/>
          <w:noProof/>
          <w:lang w:val="en-US"/>
        </w:rPr>
        <w:t>Proceedings - 3rd International Conference on Informatics, Multimedia, Cyber, and Information System, ICIMCIS 2021</w:t>
      </w:r>
      <w:r w:rsidRPr="008273CA">
        <w:rPr>
          <w:rFonts w:ascii="Arial" w:hAnsi="Arial" w:cs="Arial"/>
          <w:noProof/>
          <w:lang w:val="en-US"/>
        </w:rPr>
        <w:t>, 155–161. https://doi.org/10.1109/ICIMCIS53775.2021.9699202</w:t>
      </w:r>
    </w:p>
    <w:p w14:paraId="31F664ED"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Svatosova, V. (2020). The importance of online shopping behavior in the strategic management of e-commerce competitiveness. </w:t>
      </w:r>
      <w:r w:rsidRPr="008273CA">
        <w:rPr>
          <w:rFonts w:ascii="Arial" w:hAnsi="Arial" w:cs="Arial"/>
          <w:i/>
          <w:iCs/>
          <w:noProof/>
          <w:lang w:val="en-US"/>
        </w:rPr>
        <w:t>Journal of Competitiveness</w:t>
      </w:r>
      <w:r w:rsidRPr="008273CA">
        <w:rPr>
          <w:rFonts w:ascii="Arial" w:hAnsi="Arial" w:cs="Arial"/>
          <w:noProof/>
          <w:lang w:val="en-US"/>
        </w:rPr>
        <w:t xml:space="preserve">, </w:t>
      </w:r>
      <w:r w:rsidRPr="008273CA">
        <w:rPr>
          <w:rFonts w:ascii="Arial" w:hAnsi="Arial" w:cs="Arial"/>
          <w:i/>
          <w:iCs/>
          <w:noProof/>
          <w:lang w:val="en-US"/>
        </w:rPr>
        <w:t>12</w:t>
      </w:r>
      <w:r w:rsidRPr="008273CA">
        <w:rPr>
          <w:rFonts w:ascii="Arial" w:hAnsi="Arial" w:cs="Arial"/>
          <w:noProof/>
          <w:lang w:val="en-US"/>
        </w:rPr>
        <w:t>(4), 143–160. https://doi.org/10.7441/joc.2020.04.09</w:t>
      </w:r>
    </w:p>
    <w:p w14:paraId="548AAF77"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Taher, G. (2021). E-Commerce: Advantages and Limitations. </w:t>
      </w:r>
      <w:r w:rsidRPr="008273CA">
        <w:rPr>
          <w:rFonts w:ascii="Arial" w:hAnsi="Arial" w:cs="Arial"/>
          <w:i/>
          <w:iCs/>
          <w:noProof/>
          <w:lang w:val="en-US"/>
        </w:rPr>
        <w:t>International Journal of Academic Research in Accounting, Finance and Management Sciences</w:t>
      </w:r>
      <w:r w:rsidRPr="008273CA">
        <w:rPr>
          <w:rFonts w:ascii="Arial" w:hAnsi="Arial" w:cs="Arial"/>
          <w:noProof/>
          <w:lang w:val="en-US"/>
        </w:rPr>
        <w:t xml:space="preserve">, </w:t>
      </w:r>
      <w:r w:rsidRPr="008273CA">
        <w:rPr>
          <w:rFonts w:ascii="Arial" w:hAnsi="Arial" w:cs="Arial"/>
          <w:i/>
          <w:iCs/>
          <w:noProof/>
          <w:lang w:val="en-US"/>
        </w:rPr>
        <w:t>11</w:t>
      </w:r>
      <w:r w:rsidRPr="008273CA">
        <w:rPr>
          <w:rFonts w:ascii="Arial" w:hAnsi="Arial" w:cs="Arial"/>
          <w:noProof/>
          <w:lang w:val="en-US"/>
        </w:rPr>
        <w:t>(1), 153–167. https://doi.org/10.6007/ijarafms/v11-i1/8987</w:t>
      </w:r>
    </w:p>
    <w:p w14:paraId="677A3A20"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Taherdoost, H., Sahibuddin, S., &amp; Jalaliyoon, N. (2022). Exploratory Factor Analysis ; Concepts and Theory 2 Factor Analysis 3 Types of Factor Analysis 4 Exploratory Factor Analyses. </w:t>
      </w:r>
      <w:r w:rsidRPr="008273CA">
        <w:rPr>
          <w:rFonts w:ascii="Arial" w:hAnsi="Arial" w:cs="Arial"/>
          <w:i/>
          <w:iCs/>
          <w:noProof/>
          <w:lang w:val="en-US"/>
        </w:rPr>
        <w:t>Advances in Applied and Pure Mathematics</w:t>
      </w:r>
      <w:r w:rsidRPr="008273CA">
        <w:rPr>
          <w:rFonts w:ascii="Arial" w:hAnsi="Arial" w:cs="Arial"/>
          <w:noProof/>
          <w:lang w:val="en-US"/>
        </w:rPr>
        <w:t>, 375–382.</w:t>
      </w:r>
    </w:p>
    <w:p w14:paraId="5714CBEB"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Tran, H. N., &amp; Nguyen, M. D. (2020). Customer perception toward electronic commerce systems in Vietnam. </w:t>
      </w:r>
      <w:r w:rsidRPr="008273CA">
        <w:rPr>
          <w:rFonts w:ascii="Arial" w:hAnsi="Arial" w:cs="Arial"/>
          <w:i/>
          <w:iCs/>
          <w:noProof/>
          <w:lang w:val="en-US"/>
        </w:rPr>
        <w:t>Management Science Letters</w:t>
      </w:r>
      <w:r w:rsidRPr="008273CA">
        <w:rPr>
          <w:rFonts w:ascii="Arial" w:hAnsi="Arial" w:cs="Arial"/>
          <w:noProof/>
          <w:lang w:val="en-US"/>
        </w:rPr>
        <w:t xml:space="preserve">, </w:t>
      </w:r>
      <w:r w:rsidRPr="008273CA">
        <w:rPr>
          <w:rFonts w:ascii="Arial" w:hAnsi="Arial" w:cs="Arial"/>
          <w:i/>
          <w:iCs/>
          <w:noProof/>
          <w:lang w:val="en-US"/>
        </w:rPr>
        <w:t>10</w:t>
      </w:r>
      <w:r w:rsidRPr="008273CA">
        <w:rPr>
          <w:rFonts w:ascii="Arial" w:hAnsi="Arial" w:cs="Arial"/>
          <w:noProof/>
          <w:lang w:val="en-US"/>
        </w:rPr>
        <w:t>(12), 2861–2868. https://doi.org/10.5267/j.msl.2020.4.022</w:t>
      </w:r>
    </w:p>
    <w:p w14:paraId="53DFDE98" w14:textId="77777777" w:rsidR="00907A9C" w:rsidRPr="008273CA" w:rsidRDefault="00907A9C" w:rsidP="00907A9C">
      <w:pPr>
        <w:widowControl w:val="0"/>
        <w:autoSpaceDE w:val="0"/>
        <w:autoSpaceDN w:val="0"/>
        <w:adjustRightInd w:val="0"/>
        <w:ind w:left="480" w:hanging="480"/>
        <w:jc w:val="both"/>
        <w:rPr>
          <w:rFonts w:ascii="Arial" w:hAnsi="Arial" w:cs="Arial"/>
          <w:noProof/>
          <w:lang w:val="en-US"/>
        </w:rPr>
      </w:pPr>
      <w:r w:rsidRPr="008273CA">
        <w:rPr>
          <w:rFonts w:ascii="Arial" w:hAnsi="Arial" w:cs="Arial"/>
          <w:noProof/>
          <w:lang w:val="en-US"/>
        </w:rPr>
        <w:t xml:space="preserve">Turban, E., Lee, J. K., King, D., McKay, J., &amp; Marshall, P. (2018). </w:t>
      </w:r>
      <w:r w:rsidRPr="008273CA">
        <w:rPr>
          <w:rFonts w:ascii="Arial" w:hAnsi="Arial" w:cs="Arial"/>
          <w:i/>
          <w:iCs/>
          <w:noProof/>
          <w:lang w:val="en-US"/>
        </w:rPr>
        <w:t>Electronic Commerce: a managerial perspective 2008</w:t>
      </w:r>
      <w:r w:rsidRPr="008273CA">
        <w:rPr>
          <w:rFonts w:ascii="Arial" w:hAnsi="Arial" w:cs="Arial"/>
          <w:noProof/>
          <w:lang w:val="en-US"/>
        </w:rPr>
        <w:t xml:space="preserve"> (9th ed.). Springer.</w:t>
      </w:r>
    </w:p>
    <w:p w14:paraId="4E6B6075" w14:textId="77777777" w:rsidR="00907A9C" w:rsidRPr="008273CA" w:rsidRDefault="00907A9C" w:rsidP="00907A9C">
      <w:pPr>
        <w:widowControl w:val="0"/>
        <w:autoSpaceDE w:val="0"/>
        <w:autoSpaceDN w:val="0"/>
        <w:adjustRightInd w:val="0"/>
        <w:ind w:left="480" w:hanging="480"/>
        <w:jc w:val="both"/>
        <w:rPr>
          <w:rFonts w:ascii="Arial" w:hAnsi="Arial" w:cs="Arial"/>
          <w:noProof/>
        </w:rPr>
      </w:pPr>
      <w:r w:rsidRPr="008273CA">
        <w:rPr>
          <w:rFonts w:ascii="Arial" w:hAnsi="Arial" w:cs="Arial"/>
          <w:noProof/>
          <w:lang w:val="en-US"/>
        </w:rPr>
        <w:t xml:space="preserve">Xiao, L. (2018). Analyzing consumer online group buying motivations: An interpretive structural modeling approach. </w:t>
      </w:r>
      <w:r w:rsidRPr="008273CA">
        <w:rPr>
          <w:rFonts w:ascii="Arial" w:hAnsi="Arial" w:cs="Arial"/>
          <w:i/>
          <w:iCs/>
          <w:noProof/>
          <w:lang w:val="en-US"/>
        </w:rPr>
        <w:t>Telematics and Informatics</w:t>
      </w:r>
      <w:r w:rsidRPr="008273CA">
        <w:rPr>
          <w:rFonts w:ascii="Arial" w:hAnsi="Arial" w:cs="Arial"/>
          <w:noProof/>
          <w:lang w:val="en-US"/>
        </w:rPr>
        <w:t xml:space="preserve">, </w:t>
      </w:r>
      <w:r w:rsidRPr="008273CA">
        <w:rPr>
          <w:rFonts w:ascii="Arial" w:hAnsi="Arial" w:cs="Arial"/>
          <w:i/>
          <w:iCs/>
          <w:noProof/>
          <w:lang w:val="en-US"/>
        </w:rPr>
        <w:t>35</w:t>
      </w:r>
      <w:r w:rsidRPr="008273CA">
        <w:rPr>
          <w:rFonts w:ascii="Arial" w:hAnsi="Arial" w:cs="Arial"/>
          <w:noProof/>
          <w:lang w:val="en-US"/>
        </w:rPr>
        <w:t>(4), 629–642. https://doi.org/10.1016/j.tele.2018.01.010</w:t>
      </w:r>
    </w:p>
    <w:p w14:paraId="3B5C3E01" w14:textId="08605049" w:rsidR="0008356A" w:rsidRPr="008273CA" w:rsidRDefault="005F6674" w:rsidP="00907A9C">
      <w:pPr>
        <w:jc w:val="both"/>
        <w:rPr>
          <w:rFonts w:ascii="Arial" w:eastAsia="Arial" w:hAnsi="Arial" w:cs="Arial"/>
          <w:b/>
          <w:szCs w:val="22"/>
        </w:rPr>
      </w:pPr>
      <w:r w:rsidRPr="008273CA">
        <w:rPr>
          <w:rFonts w:ascii="Arial" w:eastAsia="Arial" w:hAnsi="Arial" w:cs="Arial"/>
          <w:b/>
          <w:szCs w:val="22"/>
        </w:rPr>
        <w:fldChar w:fldCharType="end"/>
      </w:r>
    </w:p>
    <w:p w14:paraId="53FA8AD2" w14:textId="77777777" w:rsidR="0008356A" w:rsidRPr="008273CA" w:rsidRDefault="0008356A">
      <w:pPr>
        <w:jc w:val="both"/>
        <w:rPr>
          <w:rFonts w:ascii="Arial" w:eastAsia="Arial" w:hAnsi="Arial" w:cs="Arial"/>
          <w:b/>
          <w:szCs w:val="22"/>
        </w:rPr>
      </w:pPr>
    </w:p>
    <w:bookmarkEnd w:id="6"/>
    <w:p w14:paraId="249273F3" w14:textId="77777777" w:rsidR="00A50AA7" w:rsidRDefault="00A50AA7">
      <w:pPr>
        <w:jc w:val="both"/>
        <w:rPr>
          <w:rFonts w:ascii="Arial" w:eastAsia="Arial" w:hAnsi="Arial" w:cs="Arial"/>
          <w:sz w:val="22"/>
          <w:szCs w:val="22"/>
        </w:rPr>
      </w:pPr>
    </w:p>
    <w:p w14:paraId="0F28F037" w14:textId="02967B04" w:rsidR="00A50AA7" w:rsidRDefault="00A50AA7">
      <w:pPr>
        <w:spacing w:before="280"/>
        <w:rPr>
          <w:rFonts w:ascii="Arial" w:eastAsia="Arial" w:hAnsi="Arial" w:cs="Arial"/>
        </w:rPr>
      </w:pPr>
    </w:p>
    <w:sectPr w:rsidR="00A50AA7" w:rsidSect="00467FA4">
      <w:headerReference w:type="even" r:id="rId14"/>
      <w:headerReference w:type="default" r:id="rId15"/>
      <w:footerReference w:type="even" r:id="rId16"/>
      <w:footerReference w:type="default" r:id="rId17"/>
      <w:pgSz w:w="11907" w:h="16839"/>
      <w:pgMar w:top="1440" w:right="1440" w:bottom="1440" w:left="1440" w:header="720" w:footer="720" w:gutter="0"/>
      <w:pgNumType w:start="2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127C6" w14:textId="77777777" w:rsidR="008E72E3" w:rsidRDefault="008E72E3">
      <w:r>
        <w:separator/>
      </w:r>
    </w:p>
  </w:endnote>
  <w:endnote w:type="continuationSeparator" w:id="0">
    <w:p w14:paraId="3B316C7C" w14:textId="77777777" w:rsidR="008E72E3" w:rsidRDefault="008E7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Segoe UI Symbol"/>
    <w:panose1 w:val="00000000000000000000"/>
    <w:charset w:val="02"/>
    <w:family w:val="auto"/>
    <w:notTrueType/>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E6094" w14:textId="77777777" w:rsidR="00A50AA7" w:rsidRDefault="00797B9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082BEA4E" w14:textId="77777777" w:rsidR="00A50AA7" w:rsidRDefault="00A50AA7">
    <w:pPr>
      <w:pBdr>
        <w:top w:val="nil"/>
        <w:left w:val="nil"/>
        <w:bottom w:val="nil"/>
        <w:right w:val="nil"/>
        <w:between w:val="nil"/>
      </w:pBdr>
      <w:tabs>
        <w:tab w:val="center" w:pos="4680"/>
        <w:tab w:val="right" w:pos="9360"/>
      </w:tabs>
      <w:jc w:val="center"/>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6B8A2" w14:textId="77777777" w:rsidR="00A50AA7" w:rsidRDefault="00797B9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8273CA">
      <w:rPr>
        <w:noProof/>
        <w:color w:val="000000"/>
      </w:rPr>
      <w:t>29</w:t>
    </w:r>
    <w:r>
      <w:rPr>
        <w:color w:val="000000"/>
      </w:rPr>
      <w:fldChar w:fldCharType="end"/>
    </w:r>
  </w:p>
  <w:p w14:paraId="6B7620ED" w14:textId="77777777" w:rsidR="00A50AA7" w:rsidRDefault="00A50AA7">
    <w:pPr>
      <w:pBdr>
        <w:top w:val="nil"/>
        <w:left w:val="nil"/>
        <w:bottom w:val="nil"/>
        <w:right w:val="nil"/>
        <w:between w:val="nil"/>
      </w:pBdr>
      <w:tabs>
        <w:tab w:val="center" w:pos="4680"/>
        <w:tab w:val="right" w:pos="9360"/>
      </w:tabs>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964CE" w14:textId="77777777" w:rsidR="008E72E3" w:rsidRDefault="008E72E3">
      <w:r>
        <w:separator/>
      </w:r>
    </w:p>
  </w:footnote>
  <w:footnote w:type="continuationSeparator" w:id="0">
    <w:p w14:paraId="0AE4C049" w14:textId="77777777" w:rsidR="008E72E3" w:rsidRDefault="008E7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40C19" w14:textId="77777777" w:rsidR="00A50AA7" w:rsidRDefault="00A50AA7">
    <w:pPr>
      <w:widowControl w:val="0"/>
      <w:pBdr>
        <w:top w:val="nil"/>
        <w:left w:val="nil"/>
        <w:bottom w:val="nil"/>
        <w:right w:val="nil"/>
        <w:between w:val="nil"/>
      </w:pBdr>
      <w:spacing w:line="276" w:lineRule="auto"/>
      <w:rPr>
        <w:color w:val="000000"/>
      </w:rPr>
    </w:pPr>
  </w:p>
  <w:tbl>
    <w:tblPr>
      <w:tblStyle w:val="a2"/>
      <w:tblW w:w="9074" w:type="dxa"/>
      <w:tblInd w:w="-108" w:type="dxa"/>
      <w:tblBorders>
        <w:top w:val="nil"/>
        <w:left w:val="nil"/>
        <w:bottom w:val="single" w:sz="24" w:space="0" w:color="000000"/>
        <w:right w:val="nil"/>
        <w:insideH w:val="nil"/>
        <w:insideV w:val="nil"/>
      </w:tblBorders>
      <w:tblLayout w:type="fixed"/>
      <w:tblLook w:val="0400" w:firstRow="0" w:lastRow="0" w:firstColumn="0" w:lastColumn="0" w:noHBand="0" w:noVBand="1"/>
    </w:tblPr>
    <w:tblGrid>
      <w:gridCol w:w="6096"/>
      <w:gridCol w:w="2978"/>
    </w:tblGrid>
    <w:tr w:rsidR="00A50AA7" w14:paraId="5EA4731B" w14:textId="77777777">
      <w:tc>
        <w:tcPr>
          <w:tcW w:w="6096" w:type="dxa"/>
          <w:tcBorders>
            <w:right w:val="single" w:sz="4" w:space="0" w:color="000000"/>
          </w:tcBorders>
        </w:tcPr>
        <w:p w14:paraId="54810CD2" w14:textId="77777777" w:rsidR="00A50AA7" w:rsidRDefault="00797B9E">
          <w:pPr>
            <w:pBdr>
              <w:top w:val="nil"/>
              <w:left w:val="nil"/>
              <w:bottom w:val="nil"/>
              <w:right w:val="nil"/>
              <w:between w:val="nil"/>
            </w:pBdr>
            <w:tabs>
              <w:tab w:val="center" w:pos="4680"/>
              <w:tab w:val="right" w:pos="9360"/>
            </w:tabs>
            <w:rPr>
              <w:b/>
              <w:color w:val="000000"/>
            </w:rPr>
          </w:pPr>
          <w:r>
            <w:rPr>
              <w:b/>
              <w:color w:val="000000"/>
            </w:rPr>
            <w:t>:: IJIEEB ::</w:t>
          </w:r>
        </w:p>
        <w:p w14:paraId="75D5CA26" w14:textId="77777777" w:rsidR="00A50AA7" w:rsidRDefault="00797B9E">
          <w:pPr>
            <w:pBdr>
              <w:top w:val="nil"/>
              <w:left w:val="nil"/>
              <w:bottom w:val="nil"/>
              <w:right w:val="nil"/>
              <w:between w:val="nil"/>
            </w:pBdr>
            <w:tabs>
              <w:tab w:val="center" w:pos="4680"/>
              <w:tab w:val="right" w:pos="9360"/>
            </w:tabs>
            <w:rPr>
              <w:i/>
              <w:color w:val="000000"/>
              <w:sz w:val="16"/>
              <w:szCs w:val="16"/>
            </w:rPr>
          </w:pPr>
          <w:r>
            <w:rPr>
              <w:i/>
              <w:color w:val="000000"/>
              <w:sz w:val="16"/>
              <w:szCs w:val="16"/>
            </w:rPr>
            <w:t>(International Journal of Integrated Education, Engineering Business)</w:t>
          </w:r>
        </w:p>
        <w:p w14:paraId="25B9094B" w14:textId="77777777" w:rsidR="00A50AA7" w:rsidRDefault="00797B9E">
          <w:pPr>
            <w:pBdr>
              <w:top w:val="nil"/>
              <w:left w:val="nil"/>
              <w:bottom w:val="nil"/>
              <w:right w:val="nil"/>
              <w:between w:val="nil"/>
            </w:pBdr>
            <w:tabs>
              <w:tab w:val="center" w:pos="4680"/>
              <w:tab w:val="right" w:pos="9360"/>
            </w:tabs>
            <w:rPr>
              <w:color w:val="000000"/>
            </w:rPr>
          </w:pPr>
          <w:r>
            <w:rPr>
              <w:color w:val="000000"/>
              <w:sz w:val="16"/>
              <w:szCs w:val="16"/>
            </w:rPr>
            <w:t>Volume 03 Number 02 September 2020</w:t>
          </w:r>
        </w:p>
        <w:p w14:paraId="46A654E4" w14:textId="77777777" w:rsidR="00A50AA7" w:rsidRDefault="00797B9E">
          <w:pPr>
            <w:pBdr>
              <w:top w:val="nil"/>
              <w:left w:val="nil"/>
              <w:bottom w:val="nil"/>
              <w:right w:val="nil"/>
              <w:between w:val="nil"/>
            </w:pBdr>
            <w:tabs>
              <w:tab w:val="center" w:pos="4680"/>
              <w:tab w:val="right" w:pos="9360"/>
            </w:tabs>
            <w:rPr>
              <w:i/>
              <w:color w:val="000000"/>
              <w:sz w:val="12"/>
              <w:szCs w:val="12"/>
            </w:rPr>
          </w:pPr>
          <w:r>
            <w:rPr>
              <w:i/>
              <w:color w:val="000000"/>
              <w:sz w:val="12"/>
              <w:szCs w:val="12"/>
            </w:rPr>
            <w:t>This work is licensed under a Creative Commons Attribution</w:t>
          </w:r>
          <w:proofErr w:type="gramStart"/>
          <w:r>
            <w:rPr>
              <w:i/>
              <w:color w:val="000000"/>
              <w:sz w:val="12"/>
              <w:szCs w:val="12"/>
            </w:rPr>
            <w:t xml:space="preserve">-  </w:t>
          </w:r>
          <w:proofErr w:type="spellStart"/>
          <w:r>
            <w:rPr>
              <w:i/>
              <w:color w:val="000000"/>
              <w:sz w:val="12"/>
              <w:szCs w:val="12"/>
            </w:rPr>
            <w:t>ShareAlike</w:t>
          </w:r>
          <w:proofErr w:type="spellEnd"/>
          <w:proofErr w:type="gramEnd"/>
          <w:r>
            <w:rPr>
              <w:i/>
              <w:color w:val="000000"/>
              <w:sz w:val="12"/>
              <w:szCs w:val="12"/>
            </w:rPr>
            <w:t xml:space="preserve"> 4.0 International License.</w:t>
          </w:r>
        </w:p>
      </w:tc>
      <w:tc>
        <w:tcPr>
          <w:tcW w:w="2978" w:type="dxa"/>
          <w:tcBorders>
            <w:left w:val="single" w:sz="4" w:space="0" w:color="000000"/>
            <w:bottom w:val="single" w:sz="24" w:space="0" w:color="000000"/>
          </w:tcBorders>
        </w:tcPr>
        <w:p w14:paraId="76139614" w14:textId="77777777" w:rsidR="00A50AA7" w:rsidRDefault="00797B9E">
          <w:pPr>
            <w:pBdr>
              <w:top w:val="nil"/>
              <w:left w:val="nil"/>
              <w:bottom w:val="nil"/>
              <w:right w:val="nil"/>
              <w:between w:val="nil"/>
            </w:pBdr>
            <w:tabs>
              <w:tab w:val="center" w:pos="4680"/>
              <w:tab w:val="right" w:pos="9360"/>
            </w:tabs>
            <w:jc w:val="right"/>
            <w:rPr>
              <w:color w:val="000000"/>
            </w:rPr>
          </w:pPr>
          <w:r>
            <w:rPr>
              <w:color w:val="000000"/>
            </w:rPr>
            <w:t>ISSN : 2615-2312 (ONLINE)</w:t>
          </w:r>
        </w:p>
        <w:p w14:paraId="687162A4" w14:textId="77777777" w:rsidR="00A50AA7" w:rsidRDefault="00797B9E">
          <w:pPr>
            <w:pBdr>
              <w:top w:val="nil"/>
              <w:left w:val="nil"/>
              <w:bottom w:val="nil"/>
              <w:right w:val="nil"/>
              <w:between w:val="nil"/>
            </w:pBdr>
            <w:tabs>
              <w:tab w:val="center" w:pos="4680"/>
              <w:tab w:val="right" w:pos="9360"/>
            </w:tabs>
            <w:jc w:val="right"/>
            <w:rPr>
              <w:color w:val="000000"/>
            </w:rPr>
          </w:pPr>
          <w:r>
            <w:rPr>
              <w:color w:val="000000"/>
            </w:rPr>
            <w:t>ISSN : 2615-1596 (PRINTED)</w:t>
          </w:r>
        </w:p>
        <w:p w14:paraId="60E224A3" w14:textId="77777777" w:rsidR="00A50AA7" w:rsidRDefault="00A50AA7">
          <w:pPr>
            <w:pBdr>
              <w:top w:val="nil"/>
              <w:left w:val="nil"/>
              <w:bottom w:val="nil"/>
              <w:right w:val="nil"/>
              <w:between w:val="nil"/>
            </w:pBdr>
            <w:tabs>
              <w:tab w:val="center" w:pos="4680"/>
              <w:tab w:val="right" w:pos="9360"/>
            </w:tabs>
            <w:jc w:val="right"/>
            <w:rPr>
              <w:color w:val="000000"/>
            </w:rPr>
          </w:pPr>
        </w:p>
      </w:tc>
    </w:tr>
  </w:tbl>
  <w:p w14:paraId="65E0B03E" w14:textId="77777777" w:rsidR="00A50AA7" w:rsidRDefault="00A50AA7">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083F6" w14:textId="77777777" w:rsidR="00A50AA7" w:rsidRDefault="00A50AA7">
    <w:pPr>
      <w:widowControl w:val="0"/>
      <w:pBdr>
        <w:top w:val="nil"/>
        <w:left w:val="nil"/>
        <w:bottom w:val="nil"/>
        <w:right w:val="nil"/>
        <w:between w:val="nil"/>
      </w:pBdr>
      <w:spacing w:line="276" w:lineRule="auto"/>
      <w:rPr>
        <w:rFonts w:ascii="Arial" w:eastAsia="Arial" w:hAnsi="Arial" w:cs="Arial"/>
      </w:rPr>
    </w:pPr>
  </w:p>
  <w:tbl>
    <w:tblPr>
      <w:tblStyle w:val="a1"/>
      <w:tblW w:w="9074" w:type="dxa"/>
      <w:tblInd w:w="-108" w:type="dxa"/>
      <w:tblBorders>
        <w:top w:val="nil"/>
        <w:left w:val="nil"/>
        <w:bottom w:val="single" w:sz="24" w:space="0" w:color="000000"/>
        <w:right w:val="nil"/>
        <w:insideH w:val="nil"/>
        <w:insideV w:val="nil"/>
      </w:tblBorders>
      <w:tblLayout w:type="fixed"/>
      <w:tblLook w:val="0400" w:firstRow="0" w:lastRow="0" w:firstColumn="0" w:lastColumn="0" w:noHBand="0" w:noVBand="1"/>
    </w:tblPr>
    <w:tblGrid>
      <w:gridCol w:w="6096"/>
      <w:gridCol w:w="2978"/>
    </w:tblGrid>
    <w:tr w:rsidR="00A50AA7" w14:paraId="3600CA4C" w14:textId="77777777">
      <w:tc>
        <w:tcPr>
          <w:tcW w:w="6096" w:type="dxa"/>
          <w:tcBorders>
            <w:right w:val="single" w:sz="4" w:space="0" w:color="000000"/>
          </w:tcBorders>
        </w:tcPr>
        <w:p w14:paraId="0D9354A7" w14:textId="77777777" w:rsidR="00A50AA7" w:rsidRDefault="00797B9E">
          <w:pPr>
            <w:pBdr>
              <w:top w:val="nil"/>
              <w:left w:val="nil"/>
              <w:bottom w:val="nil"/>
              <w:right w:val="nil"/>
              <w:between w:val="nil"/>
            </w:pBdr>
            <w:tabs>
              <w:tab w:val="center" w:pos="4680"/>
              <w:tab w:val="right" w:pos="9360"/>
            </w:tabs>
            <w:rPr>
              <w:b/>
              <w:color w:val="000000"/>
            </w:rPr>
          </w:pPr>
          <w:r>
            <w:rPr>
              <w:b/>
              <w:color w:val="000000"/>
            </w:rPr>
            <w:t>:: IJEEIT ::</w:t>
          </w:r>
        </w:p>
        <w:p w14:paraId="68234DE0" w14:textId="77777777" w:rsidR="00A50AA7" w:rsidRDefault="00797B9E">
          <w:pPr>
            <w:pBdr>
              <w:top w:val="nil"/>
              <w:left w:val="nil"/>
              <w:bottom w:val="nil"/>
              <w:right w:val="nil"/>
              <w:between w:val="nil"/>
            </w:pBdr>
            <w:tabs>
              <w:tab w:val="center" w:pos="4680"/>
              <w:tab w:val="right" w:pos="9360"/>
            </w:tabs>
            <w:rPr>
              <w:i/>
              <w:color w:val="000000"/>
              <w:sz w:val="16"/>
              <w:szCs w:val="16"/>
            </w:rPr>
          </w:pPr>
          <w:r>
            <w:rPr>
              <w:i/>
              <w:color w:val="000000"/>
              <w:sz w:val="16"/>
              <w:szCs w:val="16"/>
            </w:rPr>
            <w:t>(International Journal of Electrical Engineering and Information Technology)</w:t>
          </w:r>
        </w:p>
        <w:p w14:paraId="2D6F87F5" w14:textId="7FCCB228" w:rsidR="00A50AA7" w:rsidRDefault="00495953">
          <w:pPr>
            <w:pBdr>
              <w:top w:val="nil"/>
              <w:left w:val="nil"/>
              <w:bottom w:val="nil"/>
              <w:right w:val="nil"/>
              <w:between w:val="nil"/>
            </w:pBdr>
            <w:tabs>
              <w:tab w:val="center" w:pos="4680"/>
              <w:tab w:val="right" w:pos="9360"/>
            </w:tabs>
            <w:rPr>
              <w:color w:val="000000"/>
            </w:rPr>
          </w:pPr>
          <w:r>
            <w:rPr>
              <w:color w:val="000000"/>
              <w:sz w:val="16"/>
              <w:szCs w:val="16"/>
            </w:rPr>
            <w:t>Volume 07 Number 01</w:t>
          </w:r>
          <w:r w:rsidR="00797B9E">
            <w:rPr>
              <w:color w:val="000000"/>
              <w:sz w:val="16"/>
              <w:szCs w:val="16"/>
            </w:rPr>
            <w:t xml:space="preserve"> </w:t>
          </w:r>
          <w:r>
            <w:rPr>
              <w:color w:val="000000"/>
              <w:sz w:val="16"/>
              <w:szCs w:val="16"/>
            </w:rPr>
            <w:t>March 2024</w:t>
          </w:r>
        </w:p>
        <w:p w14:paraId="2ABF85F7" w14:textId="77777777" w:rsidR="00A50AA7" w:rsidRDefault="00797B9E">
          <w:pPr>
            <w:pBdr>
              <w:top w:val="nil"/>
              <w:left w:val="nil"/>
              <w:bottom w:val="nil"/>
              <w:right w:val="nil"/>
              <w:between w:val="nil"/>
            </w:pBdr>
            <w:tabs>
              <w:tab w:val="center" w:pos="4680"/>
              <w:tab w:val="right" w:pos="9360"/>
            </w:tabs>
            <w:rPr>
              <w:i/>
              <w:color w:val="000000"/>
              <w:sz w:val="14"/>
              <w:szCs w:val="14"/>
            </w:rPr>
          </w:pPr>
          <w:r>
            <w:rPr>
              <w:i/>
              <w:color w:val="000000"/>
              <w:sz w:val="14"/>
              <w:szCs w:val="14"/>
            </w:rPr>
            <w:t>This work is licensed under a Creative Commons Attribution</w:t>
          </w:r>
          <w:proofErr w:type="gramStart"/>
          <w:r>
            <w:rPr>
              <w:i/>
              <w:color w:val="000000"/>
              <w:sz w:val="14"/>
              <w:szCs w:val="14"/>
            </w:rPr>
            <w:t xml:space="preserve">-  </w:t>
          </w:r>
          <w:proofErr w:type="spellStart"/>
          <w:r>
            <w:rPr>
              <w:i/>
              <w:color w:val="000000"/>
              <w:sz w:val="14"/>
              <w:szCs w:val="14"/>
            </w:rPr>
            <w:t>ShareAlike</w:t>
          </w:r>
          <w:proofErr w:type="spellEnd"/>
          <w:proofErr w:type="gramEnd"/>
          <w:r>
            <w:rPr>
              <w:i/>
              <w:color w:val="000000"/>
              <w:sz w:val="14"/>
              <w:szCs w:val="14"/>
            </w:rPr>
            <w:t xml:space="preserve"> 4.0 International License.</w:t>
          </w:r>
        </w:p>
      </w:tc>
      <w:tc>
        <w:tcPr>
          <w:tcW w:w="2978" w:type="dxa"/>
          <w:tcBorders>
            <w:left w:val="single" w:sz="4" w:space="0" w:color="000000"/>
            <w:bottom w:val="single" w:sz="24" w:space="0" w:color="000000"/>
          </w:tcBorders>
        </w:tcPr>
        <w:p w14:paraId="108324E8" w14:textId="77777777" w:rsidR="00A50AA7" w:rsidRDefault="00797B9E">
          <w:pPr>
            <w:pBdr>
              <w:top w:val="nil"/>
              <w:left w:val="nil"/>
              <w:bottom w:val="nil"/>
              <w:right w:val="nil"/>
              <w:between w:val="nil"/>
            </w:pBdr>
            <w:tabs>
              <w:tab w:val="center" w:pos="4680"/>
              <w:tab w:val="right" w:pos="9360"/>
            </w:tabs>
            <w:jc w:val="center"/>
            <w:rPr>
              <w:color w:val="000000"/>
            </w:rPr>
          </w:pPr>
          <w:r>
            <w:rPr>
              <w:color w:val="000000"/>
            </w:rPr>
            <w:t xml:space="preserve">ISSN : </w:t>
          </w:r>
          <w:r>
            <w:rPr>
              <w:color w:val="000000"/>
              <w:highlight w:val="white"/>
            </w:rPr>
            <w:t>2615-2096</w:t>
          </w:r>
          <w:r>
            <w:rPr>
              <w:color w:val="000000"/>
            </w:rPr>
            <w:t xml:space="preserve"> (ONLINE)</w:t>
          </w:r>
        </w:p>
        <w:p w14:paraId="122B9966" w14:textId="77777777" w:rsidR="00A50AA7" w:rsidRDefault="00797B9E">
          <w:pPr>
            <w:pBdr>
              <w:top w:val="nil"/>
              <w:left w:val="nil"/>
              <w:bottom w:val="nil"/>
              <w:right w:val="nil"/>
              <w:between w:val="nil"/>
            </w:pBdr>
            <w:tabs>
              <w:tab w:val="center" w:pos="4680"/>
              <w:tab w:val="right" w:pos="9360"/>
            </w:tabs>
            <w:jc w:val="center"/>
            <w:rPr>
              <w:color w:val="000000"/>
            </w:rPr>
          </w:pPr>
          <w:r>
            <w:rPr>
              <w:color w:val="000000"/>
            </w:rPr>
            <w:t xml:space="preserve">  ISSN : </w:t>
          </w:r>
          <w:r>
            <w:rPr>
              <w:color w:val="000000"/>
              <w:highlight w:val="white"/>
            </w:rPr>
            <w:t>2615-2088</w:t>
          </w:r>
          <w:r>
            <w:rPr>
              <w:color w:val="000000"/>
            </w:rPr>
            <w:t xml:space="preserve"> (PRINTED)</w:t>
          </w:r>
        </w:p>
        <w:p w14:paraId="2DA88B9D" w14:textId="77777777" w:rsidR="00A50AA7" w:rsidRDefault="00A50AA7">
          <w:pPr>
            <w:pBdr>
              <w:top w:val="nil"/>
              <w:left w:val="nil"/>
              <w:bottom w:val="nil"/>
              <w:right w:val="nil"/>
              <w:between w:val="nil"/>
            </w:pBdr>
            <w:tabs>
              <w:tab w:val="center" w:pos="4680"/>
              <w:tab w:val="right" w:pos="9360"/>
            </w:tabs>
            <w:jc w:val="right"/>
            <w:rPr>
              <w:color w:val="000000"/>
            </w:rPr>
          </w:pPr>
        </w:p>
      </w:tc>
    </w:tr>
  </w:tbl>
  <w:p w14:paraId="575D8B4B" w14:textId="77777777" w:rsidR="00A50AA7" w:rsidRDefault="00A50AA7">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87DBB"/>
    <w:multiLevelType w:val="multilevel"/>
    <w:tmpl w:val="9294BF60"/>
    <w:lvl w:ilvl="0">
      <w:start w:val="1"/>
      <w:numFmt w:val="bullet"/>
      <w:pStyle w:val="Reference"/>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nsid w:val="0E57618B"/>
    <w:multiLevelType w:val="multilevel"/>
    <w:tmpl w:val="DE20FB18"/>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2">
    <w:nsid w:val="25CE7FDE"/>
    <w:multiLevelType w:val="multilevel"/>
    <w:tmpl w:val="9EBAF5D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nsid w:val="41453D2C"/>
    <w:multiLevelType w:val="multilevel"/>
    <w:tmpl w:val="E02232E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nsid w:val="4AEC0D9B"/>
    <w:multiLevelType w:val="multilevel"/>
    <w:tmpl w:val="4E801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nsid w:val="50017DF1"/>
    <w:multiLevelType w:val="multilevel"/>
    <w:tmpl w:val="A92EC88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nsid w:val="57B15DC8"/>
    <w:multiLevelType w:val="multilevel"/>
    <w:tmpl w:val="2818A7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nsid w:val="5AA52B8F"/>
    <w:multiLevelType w:val="multilevel"/>
    <w:tmpl w:val="87CCFE96"/>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421025D"/>
    <w:multiLevelType w:val="multilevel"/>
    <w:tmpl w:val="98381A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74D45E5"/>
    <w:multiLevelType w:val="multilevel"/>
    <w:tmpl w:val="680E397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nsid w:val="68B379E7"/>
    <w:multiLevelType w:val="multilevel"/>
    <w:tmpl w:val="EF0AF01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nsid w:val="6C6A75B4"/>
    <w:multiLevelType w:val="multilevel"/>
    <w:tmpl w:val="76B2F1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A5A2474"/>
    <w:multiLevelType w:val="multilevel"/>
    <w:tmpl w:val="66265DD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 w:numId="2">
    <w:abstractNumId w:val="6"/>
  </w:num>
  <w:num w:numId="3">
    <w:abstractNumId w:val="7"/>
  </w:num>
  <w:num w:numId="4">
    <w:abstractNumId w:val="12"/>
  </w:num>
  <w:num w:numId="5">
    <w:abstractNumId w:val="4"/>
  </w:num>
  <w:num w:numId="6">
    <w:abstractNumId w:val="8"/>
  </w:num>
  <w:num w:numId="7">
    <w:abstractNumId w:val="10"/>
  </w:num>
  <w:num w:numId="8">
    <w:abstractNumId w:val="1"/>
  </w:num>
  <w:num w:numId="9">
    <w:abstractNumId w:val="5"/>
  </w:num>
  <w:num w:numId="10">
    <w:abstractNumId w:val="9"/>
  </w:num>
  <w:num w:numId="11">
    <w:abstractNumId w:val="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AA7"/>
    <w:rsid w:val="0008356A"/>
    <w:rsid w:val="00433807"/>
    <w:rsid w:val="00467FA4"/>
    <w:rsid w:val="00495953"/>
    <w:rsid w:val="005F6674"/>
    <w:rsid w:val="00611648"/>
    <w:rsid w:val="00694A89"/>
    <w:rsid w:val="006A5617"/>
    <w:rsid w:val="006C6575"/>
    <w:rsid w:val="00746F57"/>
    <w:rsid w:val="00776007"/>
    <w:rsid w:val="00783E33"/>
    <w:rsid w:val="00797B9E"/>
    <w:rsid w:val="008273CA"/>
    <w:rsid w:val="008E72E3"/>
    <w:rsid w:val="00907A9C"/>
    <w:rsid w:val="00935A6D"/>
    <w:rsid w:val="009B19CD"/>
    <w:rsid w:val="00A50AA7"/>
    <w:rsid w:val="00AA365D"/>
    <w:rsid w:val="00C42D73"/>
    <w:rsid w:val="00D13BEA"/>
    <w:rsid w:val="00DF333A"/>
    <w:rsid w:val="00EB1214"/>
    <w:rsid w:val="00F02B2F"/>
    <w:rsid w:val="00F67FDA"/>
    <w:rsid w:val="00FD17D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DBD3F"/>
  <w15:docId w15:val="{C90FA85E-CB6B-4C44-A611-566C41AB8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D5D"/>
  </w:style>
  <w:style w:type="paragraph" w:styleId="Heading1">
    <w:name w:val="heading 1"/>
    <w:basedOn w:val="Normal"/>
    <w:next w:val="Normal"/>
    <w:link w:val="Heading1Char"/>
    <w:uiPriority w:val="9"/>
    <w:qFormat/>
    <w:rsid w:val="00913D5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2483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913D5D"/>
    <w:pPr>
      <w:jc w:val="center"/>
    </w:pPr>
    <w:rPr>
      <w:b/>
      <w:bCs/>
      <w:sz w:val="28"/>
      <w:szCs w:val="24"/>
      <w:lang w:val="es-ES" w:eastAsia="es-ES"/>
    </w:rPr>
  </w:style>
  <w:style w:type="character" w:customStyle="1" w:styleId="Heading1Char">
    <w:name w:val="Heading 1 Char"/>
    <w:basedOn w:val="DefaultParagraphFont"/>
    <w:link w:val="Heading1"/>
    <w:rsid w:val="00913D5D"/>
    <w:rPr>
      <w:rFonts w:asciiTheme="majorHAnsi" w:eastAsiaTheme="majorEastAsia" w:hAnsiTheme="majorHAnsi" w:cstheme="majorBidi"/>
      <w:color w:val="2E74B5" w:themeColor="accent1" w:themeShade="BF"/>
      <w:sz w:val="32"/>
      <w:szCs w:val="32"/>
      <w:lang w:val="en-GB"/>
    </w:rPr>
  </w:style>
  <w:style w:type="paragraph" w:customStyle="1" w:styleId="Els-body-text">
    <w:name w:val="Els-body-text"/>
    <w:rsid w:val="00913D5D"/>
    <w:pPr>
      <w:keepNext/>
      <w:spacing w:line="240" w:lineRule="exact"/>
      <w:ind w:firstLine="238"/>
      <w:jc w:val="both"/>
    </w:pPr>
  </w:style>
  <w:style w:type="character" w:styleId="Hyperlink">
    <w:name w:val="Hyperlink"/>
    <w:basedOn w:val="DefaultParagraphFont"/>
    <w:rsid w:val="00913D5D"/>
    <w:rPr>
      <w:color w:val="auto"/>
      <w:sz w:val="16"/>
      <w:u w:val="none"/>
    </w:rPr>
  </w:style>
  <w:style w:type="character" w:styleId="Strong">
    <w:name w:val="Strong"/>
    <w:basedOn w:val="DefaultParagraphFont"/>
    <w:uiPriority w:val="22"/>
    <w:qFormat/>
    <w:rsid w:val="00913D5D"/>
    <w:rPr>
      <w:b/>
      <w:bCs/>
    </w:rPr>
  </w:style>
  <w:style w:type="character" w:customStyle="1" w:styleId="TitleChar">
    <w:name w:val="Title Char"/>
    <w:basedOn w:val="DefaultParagraphFont"/>
    <w:link w:val="Title"/>
    <w:rsid w:val="00913D5D"/>
    <w:rPr>
      <w:rFonts w:ascii="Times New Roman" w:eastAsia="Times New Roman" w:hAnsi="Times New Roman" w:cs="Times New Roman"/>
      <w:b/>
      <w:bCs/>
      <w:sz w:val="28"/>
      <w:szCs w:val="24"/>
      <w:lang w:val="es-ES" w:eastAsia="es-ES"/>
    </w:rPr>
  </w:style>
  <w:style w:type="paragraph" w:styleId="Header">
    <w:name w:val="header"/>
    <w:basedOn w:val="Normal"/>
    <w:link w:val="HeaderChar"/>
    <w:uiPriority w:val="99"/>
    <w:unhideWhenUsed/>
    <w:rsid w:val="00913D5D"/>
    <w:pPr>
      <w:tabs>
        <w:tab w:val="center" w:pos="4680"/>
        <w:tab w:val="right" w:pos="9360"/>
      </w:tabs>
    </w:pPr>
  </w:style>
  <w:style w:type="character" w:customStyle="1" w:styleId="HeaderChar">
    <w:name w:val="Header Char"/>
    <w:basedOn w:val="DefaultParagraphFont"/>
    <w:link w:val="Header"/>
    <w:uiPriority w:val="99"/>
    <w:rsid w:val="00913D5D"/>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13D5D"/>
    <w:pPr>
      <w:tabs>
        <w:tab w:val="center" w:pos="4680"/>
        <w:tab w:val="right" w:pos="9360"/>
      </w:tabs>
    </w:pPr>
  </w:style>
  <w:style w:type="character" w:customStyle="1" w:styleId="FooterChar">
    <w:name w:val="Footer Char"/>
    <w:basedOn w:val="DefaultParagraphFont"/>
    <w:link w:val="Footer"/>
    <w:uiPriority w:val="99"/>
    <w:rsid w:val="00913D5D"/>
    <w:rPr>
      <w:rFonts w:ascii="Times New Roman" w:eastAsia="Times New Roman" w:hAnsi="Times New Roman" w:cs="Times New Roman"/>
      <w:sz w:val="20"/>
      <w:szCs w:val="20"/>
      <w:lang w:val="en-GB"/>
    </w:rPr>
  </w:style>
  <w:style w:type="paragraph" w:customStyle="1" w:styleId="Sectionnonumber">
    <w:name w:val="Section (no number)"/>
    <w:next w:val="Normal"/>
    <w:rsid w:val="00913D5D"/>
    <w:pPr>
      <w:spacing w:before="240"/>
    </w:pPr>
    <w:rPr>
      <w:rFonts w:ascii="Times" w:hAnsi="Times"/>
      <w:b/>
      <w:iCs/>
      <w:color w:val="000000"/>
    </w:rPr>
  </w:style>
  <w:style w:type="paragraph" w:customStyle="1" w:styleId="Reference">
    <w:name w:val="Reference"/>
    <w:rsid w:val="00913D5D"/>
    <w:pPr>
      <w:widowControl w:val="0"/>
      <w:numPr>
        <w:numId w:val="1"/>
      </w:numPr>
      <w:tabs>
        <w:tab w:val="left" w:pos="567"/>
      </w:tabs>
      <w:jc w:val="both"/>
    </w:pPr>
    <w:rPr>
      <w:rFonts w:ascii="Times" w:hAnsi="Times"/>
      <w:iCs/>
      <w:noProof/>
      <w:color w:val="000000"/>
    </w:rPr>
  </w:style>
  <w:style w:type="table" w:styleId="TableGrid">
    <w:name w:val="Table Grid"/>
    <w:basedOn w:val="TableNormal"/>
    <w:uiPriority w:val="39"/>
    <w:qFormat/>
    <w:rsid w:val="00913D5D"/>
    <w:rPr>
      <w:rFonts w:ascii="Calibri" w:eastAsia="Calibri" w:hAnsi="Calibri"/>
      <w:lang w:val="en-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Body of text,List Paragraph1,awal,List Paragraph2,spasi 2 taiiii,skripsi,kepala,Light Grid - Accent 31,List Paragraph Inventariasi,Tabel,ANNEX,UGEX'Z,Medium Grid 1 - Accent 21,Body of text+1,Body of text+2,Body of text+3,1.2 Dst...,POINT"/>
    <w:basedOn w:val="Normal"/>
    <w:link w:val="ListParagraphChar"/>
    <w:uiPriority w:val="34"/>
    <w:qFormat/>
    <w:rsid w:val="00913D5D"/>
    <w:pPr>
      <w:ind w:left="720"/>
      <w:contextualSpacing/>
    </w:pPr>
    <w:rPr>
      <w:rFonts w:ascii="Times" w:hAnsi="Times"/>
      <w:sz w:val="22"/>
    </w:rPr>
  </w:style>
  <w:style w:type="character" w:customStyle="1" w:styleId="Heading2Char">
    <w:name w:val="Heading 2 Char"/>
    <w:basedOn w:val="DefaultParagraphFont"/>
    <w:link w:val="Heading2"/>
    <w:uiPriority w:val="9"/>
    <w:semiHidden/>
    <w:rsid w:val="00A2483B"/>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qFormat/>
    <w:rsid w:val="00D77C59"/>
    <w:pPr>
      <w:spacing w:before="120" w:after="120"/>
    </w:pPr>
    <w:rPr>
      <w:rFonts w:eastAsia="Batang"/>
      <w:b/>
      <w:bCs/>
      <w:lang w:val="en-US"/>
    </w:rPr>
  </w:style>
  <w:style w:type="paragraph" w:styleId="HTMLPreformatted">
    <w:name w:val="HTML Preformatted"/>
    <w:basedOn w:val="Normal"/>
    <w:link w:val="HTMLPreformattedChar"/>
    <w:uiPriority w:val="99"/>
    <w:unhideWhenUsed/>
    <w:rsid w:val="00EA2C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id-ID" w:eastAsia="id-ID"/>
    </w:rPr>
  </w:style>
  <w:style w:type="character" w:customStyle="1" w:styleId="HTMLPreformattedChar">
    <w:name w:val="HTML Preformatted Char"/>
    <w:basedOn w:val="DefaultParagraphFont"/>
    <w:link w:val="HTMLPreformatted"/>
    <w:uiPriority w:val="99"/>
    <w:rsid w:val="00EA2C5F"/>
    <w:rPr>
      <w:rFonts w:ascii="Courier New" w:eastAsia="Times New Roman" w:hAnsi="Courier New" w:cs="Courier New"/>
      <w:sz w:val="20"/>
      <w:szCs w:val="20"/>
      <w:lang w:val="id-ID" w:eastAsia="id-I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r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rPr>
      <w:rFonts w:ascii="Calibri" w:eastAsia="Calibri" w:hAnsi="Calibri" w:cs="Calibri"/>
    </w:rPr>
    <w:tblPr>
      <w:tblStyleRowBandSize w:val="1"/>
      <w:tblStyleColBandSize w:val="1"/>
      <w:tblInd w:w="0" w:type="dxa"/>
      <w:tblCellMar>
        <w:top w:w="0" w:type="dxa"/>
        <w:left w:w="108" w:type="dxa"/>
        <w:bottom w:w="0" w:type="dxa"/>
        <w:right w:w="108" w:type="dxa"/>
      </w:tblCellMar>
    </w:tblPr>
  </w:style>
  <w:style w:type="table" w:customStyle="1" w:styleId="a2">
    <w:basedOn w:val="TableNormal"/>
    <w:rPr>
      <w:rFonts w:ascii="Calibri" w:eastAsia="Calibri" w:hAnsi="Calibri" w:cs="Calibri"/>
    </w:rPr>
    <w:tblPr>
      <w:tblStyleRowBandSize w:val="1"/>
      <w:tblStyleColBandSize w:val="1"/>
      <w:tblInd w:w="0" w:type="dxa"/>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694A89"/>
    <w:rPr>
      <w:color w:val="605E5C"/>
      <w:shd w:val="clear" w:color="auto" w:fill="E1DFDD"/>
    </w:rPr>
  </w:style>
  <w:style w:type="character" w:customStyle="1" w:styleId="y2iqfc">
    <w:name w:val="y2iqfc"/>
    <w:basedOn w:val="DefaultParagraphFont"/>
    <w:rsid w:val="00EB1214"/>
  </w:style>
  <w:style w:type="character" w:styleId="FollowedHyperlink">
    <w:name w:val="FollowedHyperlink"/>
    <w:basedOn w:val="DefaultParagraphFont"/>
    <w:uiPriority w:val="99"/>
    <w:semiHidden/>
    <w:unhideWhenUsed/>
    <w:rsid w:val="00783E33"/>
    <w:rPr>
      <w:color w:val="954F72" w:themeColor="followedHyperlink"/>
      <w:u w:val="single"/>
    </w:rPr>
  </w:style>
  <w:style w:type="character" w:styleId="Emphasis">
    <w:name w:val="Emphasis"/>
    <w:basedOn w:val="DefaultParagraphFont"/>
    <w:uiPriority w:val="20"/>
    <w:qFormat/>
    <w:rsid w:val="00935A6D"/>
    <w:rPr>
      <w:i/>
      <w:iCs/>
    </w:rPr>
  </w:style>
  <w:style w:type="character" w:customStyle="1" w:styleId="ListParagraphChar">
    <w:name w:val="List Paragraph Char"/>
    <w:aliases w:val="Body of text Char,List Paragraph1 Char,awal Char,List Paragraph2 Char,spasi 2 taiiii Char,skripsi Char,kepala Char,Light Grid - Accent 31 Char,List Paragraph Inventariasi Char,Tabel Char,ANNEX Char,UGEX'Z Char,Body of text+1 Char"/>
    <w:basedOn w:val="DefaultParagraphFont"/>
    <w:link w:val="ListParagraph"/>
    <w:uiPriority w:val="34"/>
    <w:qFormat/>
    <w:rsid w:val="00935A6D"/>
    <w:rPr>
      <w:rFonts w:ascii="Times" w:hAnsi="Time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17898">
      <w:bodyDiv w:val="1"/>
      <w:marLeft w:val="0"/>
      <w:marRight w:val="0"/>
      <w:marTop w:val="0"/>
      <w:marBottom w:val="0"/>
      <w:divBdr>
        <w:top w:val="none" w:sz="0" w:space="0" w:color="auto"/>
        <w:left w:val="none" w:sz="0" w:space="0" w:color="auto"/>
        <w:bottom w:val="none" w:sz="0" w:space="0" w:color="auto"/>
        <w:right w:val="none" w:sz="0" w:space="0" w:color="auto"/>
      </w:divBdr>
    </w:div>
    <w:div w:id="290597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inggih_purnomo@udb.ac.i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lizah@unikl.edu.my"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farahwahidam@unikl.edu.m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purwanto.eko@s.unikl.edu.my"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sPRt0+kFTUomJuSqfhQX6VS+Wg==">CgMxLjA4AHIhMVFnMWJtRHdfUUJmMDR2cGNQU21EbmtzNU9SYkptaVBx</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AA60296-464E-46D5-8015-6DADDB9DA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11790</Words>
  <Characters>67209</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HP1000</dc:creator>
  <cp:lastModifiedBy>Microsoft account</cp:lastModifiedBy>
  <cp:revision>6</cp:revision>
  <dcterms:created xsi:type="dcterms:W3CDTF">2024-02-01T14:16:00Z</dcterms:created>
  <dcterms:modified xsi:type="dcterms:W3CDTF">2024-04-04T16:56:00Z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8d7a2b8c-c29d-3808-9dd3-bbb9c524a389</vt:lpwstr>
  </property>
  <property fmtid="{D5CDD505-2E9C-101B-9397-08002B2CF9AE}" pid="4" name="Mendeley Recent Style Id 0_1">
    <vt:lpwstr>http://www.zotero.org/styles/apa-6th-edition</vt:lpwstr>
  </property>
  <property fmtid="{D5CDD505-2E9C-101B-9397-08002B2CF9AE}" pid="5" name="Mendeley Recent Style Name 0_1">
    <vt:lpwstr>American Psychological Association 6th edition</vt:lpwstr>
  </property>
  <property fmtid="{D5CDD505-2E9C-101B-9397-08002B2CF9AE}" pid="6" name="Mendeley Recent Style Id 1_1">
    <vt:lpwstr>http://www.zotero.org/styles/apa</vt:lpwstr>
  </property>
  <property fmtid="{D5CDD505-2E9C-101B-9397-08002B2CF9AE}" pid="7" name="Mendeley Recent Style Name 1_1">
    <vt:lpwstr>American Psychological Association 7th edition</vt:lpwstr>
  </property>
  <property fmtid="{D5CDD505-2E9C-101B-9397-08002B2CF9AE}" pid="8" name="Mendeley Recent Style Id 2_1">
    <vt:lpwstr>http://www.zotero.org/styles/american-sociological-association</vt:lpwstr>
  </property>
  <property fmtid="{D5CDD505-2E9C-101B-9397-08002B2CF9AE}" pid="9" name="Mendeley Recent Style Name 2_1">
    <vt:lpwstr>American Sociological Association 6th edition</vt:lpwstr>
  </property>
  <property fmtid="{D5CDD505-2E9C-101B-9397-08002B2CF9AE}" pid="10" name="Mendeley Recent Style Id 3_1">
    <vt:lpwstr>http://www.zotero.org/styles/harvard-anglia-ruskin-university</vt:lpwstr>
  </property>
  <property fmtid="{D5CDD505-2E9C-101B-9397-08002B2CF9AE}" pid="11" name="Mendeley Recent Style Name 3_1">
    <vt:lpwstr>Anglia Ruskin University - Harvard</vt:lpwstr>
  </property>
  <property fmtid="{D5CDD505-2E9C-101B-9397-08002B2CF9AE}" pid="12" name="Mendeley Recent Style Id 4_1">
    <vt:lpwstr>http://www.zotero.org/styles/harvard-cite-them-right</vt:lpwstr>
  </property>
  <property fmtid="{D5CDD505-2E9C-101B-9397-08002B2CF9AE}" pid="13" name="Mendeley Recent Style Name 4_1">
    <vt:lpwstr>Cite Them Right 12th edition - Harvard</vt:lpwstr>
  </property>
  <property fmtid="{D5CDD505-2E9C-101B-9397-08002B2CF9AE}" pid="14" name="Mendeley Recent Style Id 5_1">
    <vt:lpwstr>http://www.zotero.org/styles/harvard1</vt:lpwstr>
  </property>
  <property fmtid="{D5CDD505-2E9C-101B-9397-08002B2CF9AE}" pid="15" name="Mendeley Recent Style Name 5_1">
    <vt:lpwstr>Harvard reference format 1 (deprecated)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9th edition</vt:lpwstr>
  </property>
  <property fmtid="{D5CDD505-2E9C-101B-9397-08002B2CF9AE}" pid="22" name="Mendeley Recent Style Id 9_1">
    <vt:lpwstr>http://www.zotero.org/styles/springer-science-reviews</vt:lpwstr>
  </property>
  <property fmtid="{D5CDD505-2E9C-101B-9397-08002B2CF9AE}" pid="23" name="Mendeley Recent Style Name 9_1">
    <vt:lpwstr>Springer Science Reviews</vt:lpwstr>
  </property>
  <property fmtid="{D5CDD505-2E9C-101B-9397-08002B2CF9AE}" pid="24" name="Mendeley Citation Style_1">
    <vt:lpwstr>http://www.zotero.org/styles/apa</vt:lpwstr>
  </property>
</Properties>
</file>